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393335" w:rsidRPr="00B06385">
        <w:trPr>
          <w:trHeight w:hRule="exact" w:val="418"/>
          <w:jc w:val="center"/>
        </w:trPr>
        <w:tc>
          <w:tcPr>
            <w:tcW w:w="8721" w:type="dxa"/>
            <w:gridSpan w:val="2"/>
          </w:tcPr>
          <w:p w:rsidR="00393335" w:rsidRPr="00B06385" w:rsidRDefault="00B06385">
            <w:pPr>
              <w:pStyle w:val="Header"/>
              <w:jc w:val="center"/>
              <w:rPr>
                <w:rFonts w:ascii="Tahoma" w:hAnsi="Tahoma"/>
                <w:noProof w:val="0"/>
                <w:color w:val="000080"/>
                <w:sz w:val="30"/>
                <w:szCs w:val="30"/>
                <w:rtl/>
              </w:rPr>
            </w:pPr>
            <w:bookmarkStart w:id="0" w:name="LastJudge"/>
            <w:r w:rsidRPr="00B06385">
              <w:rPr>
                <w:rFonts w:ascii="Tahoma" w:hAnsi="Tahoma"/>
                <w:b/>
                <w:bCs/>
                <w:noProof w:val="0"/>
                <w:color w:val="000080"/>
                <w:sz w:val="30"/>
                <w:szCs w:val="30"/>
                <w:rtl/>
              </w:rPr>
              <w:t>בית דין אזורי לעבודה בתל אביב - יפו</w:t>
            </w:r>
          </w:p>
        </w:tc>
      </w:tr>
      <w:tr w:rsidR="00393335" w:rsidRPr="00B06385">
        <w:trPr>
          <w:trHeight w:val="959"/>
          <w:jc w:val="center"/>
        </w:trPr>
        <w:tc>
          <w:tcPr>
            <w:tcW w:w="5047" w:type="dxa"/>
          </w:tcPr>
          <w:p w:rsidR="00393335" w:rsidRPr="00B06385" w:rsidRDefault="00393335">
            <w:pPr>
              <w:rPr>
                <w:b/>
                <w:bCs/>
                <w:noProof w:val="0"/>
                <w:sz w:val="26"/>
                <w:szCs w:val="26"/>
                <w:rtl/>
              </w:rPr>
            </w:pPr>
          </w:p>
        </w:tc>
        <w:tc>
          <w:tcPr>
            <w:tcW w:w="3674" w:type="dxa"/>
          </w:tcPr>
          <w:p w:rsidR="00393335" w:rsidRPr="00B06385" w:rsidRDefault="00B06385">
            <w:pPr>
              <w:jc w:val="right"/>
              <w:rPr>
                <w:sz w:val="28"/>
                <w:szCs w:val="28"/>
                <w:rtl/>
              </w:rPr>
            </w:pPr>
            <w:r w:rsidRPr="00B06385">
              <w:rPr>
                <w:b/>
                <w:bCs/>
                <w:noProof w:val="0"/>
                <w:sz w:val="28"/>
                <w:szCs w:val="28"/>
                <w:rtl/>
              </w:rPr>
              <w:t>תע"א 4651/09</w:t>
            </w:r>
          </w:p>
          <w:p w:rsidR="00393335" w:rsidRPr="00B06385" w:rsidRDefault="00B06385">
            <w:pPr>
              <w:jc w:val="right"/>
              <w:rPr>
                <w:sz w:val="28"/>
                <w:szCs w:val="28"/>
                <w:rtl/>
              </w:rPr>
            </w:pPr>
            <w:r w:rsidRPr="00B06385">
              <w:rPr>
                <w:b/>
                <w:bCs/>
                <w:noProof w:val="0"/>
                <w:sz w:val="28"/>
                <w:szCs w:val="28"/>
                <w:rtl/>
              </w:rPr>
              <w:t>דמ"ר 3418/09</w:t>
            </w:r>
          </w:p>
        </w:tc>
      </w:tr>
    </w:tbl>
    <w:p w:rsidR="00393335" w:rsidRPr="00B06385" w:rsidRDefault="00B06385">
      <w:pPr>
        <w:pStyle w:val="Header"/>
        <w:rPr>
          <w:noProof w:val="0"/>
          <w:rtl/>
        </w:rPr>
      </w:pPr>
      <w:r w:rsidRPr="00B06385">
        <w:rPr>
          <w:noProof w:val="0"/>
          <w:rtl/>
        </w:rPr>
        <w:t xml:space="preserve"> </w:t>
      </w:r>
    </w:p>
    <w:p w:rsidR="00393335" w:rsidRPr="00B06385" w:rsidRDefault="00B06385">
      <w:pPr>
        <w:pStyle w:val="Header"/>
        <w:jc w:val="right"/>
        <w:rPr>
          <w:sz w:val="28"/>
          <w:szCs w:val="28"/>
          <w:rtl/>
        </w:rPr>
      </w:pPr>
      <w:r w:rsidRPr="00B06385">
        <w:rPr>
          <w:rFonts w:hint="cs"/>
          <w:sz w:val="28"/>
          <w:szCs w:val="28"/>
          <w:rtl/>
        </w:rPr>
        <w:t>03 יולי 2014</w:t>
      </w:r>
    </w:p>
    <w:p w:rsidR="00393335" w:rsidRPr="00B06385" w:rsidRDefault="00393335">
      <w:pPr>
        <w:rPr>
          <w:sz w:val="28"/>
          <w:szCs w:val="28"/>
          <w:rtl/>
        </w:rPr>
      </w:pPr>
    </w:p>
    <w:tbl>
      <w:tblPr>
        <w:bidiVisual/>
        <w:tblW w:w="8820" w:type="dxa"/>
        <w:jc w:val="center"/>
        <w:tblLook w:val="01E0"/>
      </w:tblPr>
      <w:tblGrid>
        <w:gridCol w:w="3249"/>
        <w:gridCol w:w="1800"/>
        <w:gridCol w:w="3771"/>
      </w:tblGrid>
      <w:tr w:rsidR="00393335" w:rsidRPr="00B06385">
        <w:trPr>
          <w:trHeight w:val="295"/>
          <w:jc w:val="center"/>
        </w:trPr>
        <w:tc>
          <w:tcPr>
            <w:tcW w:w="5049" w:type="dxa"/>
            <w:gridSpan w:val="2"/>
          </w:tcPr>
          <w:p w:rsidR="00393335" w:rsidRPr="00B06385" w:rsidRDefault="00B06385">
            <w:pPr>
              <w:spacing w:line="360" w:lineRule="auto"/>
              <w:rPr>
                <w:rFonts w:ascii="Arial" w:hAnsi="Arial"/>
                <w:b/>
                <w:bCs/>
                <w:noProof w:val="0"/>
                <w:sz w:val="28"/>
                <w:szCs w:val="28"/>
                <w:rtl/>
              </w:rPr>
            </w:pPr>
            <w:r w:rsidRPr="00B06385">
              <w:rPr>
                <w:rFonts w:ascii="Arial" w:hAnsi="Arial" w:hint="cs"/>
                <w:b/>
                <w:bCs/>
                <w:sz w:val="28"/>
                <w:szCs w:val="28"/>
                <w:rtl/>
              </w:rPr>
              <w:t>ל</w:t>
            </w:r>
            <w:r w:rsidRPr="00B06385">
              <w:rPr>
                <w:rFonts w:ascii="Arial" w:hAnsi="Arial"/>
                <w:b/>
                <w:bCs/>
                <w:sz w:val="28"/>
                <w:szCs w:val="28"/>
                <w:rtl/>
              </w:rPr>
              <w:t>פני</w:t>
            </w:r>
            <w:r w:rsidRPr="00B06385">
              <w:rPr>
                <w:rFonts w:ascii="Arial" w:hAnsi="Arial" w:hint="cs"/>
                <w:b/>
                <w:bCs/>
                <w:noProof w:val="0"/>
                <w:sz w:val="28"/>
                <w:szCs w:val="28"/>
                <w:rtl/>
              </w:rPr>
              <w:t>:</w:t>
            </w:r>
          </w:p>
        </w:tc>
        <w:tc>
          <w:tcPr>
            <w:tcW w:w="3771" w:type="dxa"/>
          </w:tcPr>
          <w:p w:rsidR="00393335" w:rsidRPr="00B06385" w:rsidRDefault="00393335">
            <w:pPr>
              <w:jc w:val="right"/>
              <w:rPr>
                <w:rFonts w:ascii="Arial" w:hAnsi="Arial"/>
                <w:b/>
                <w:bCs/>
                <w:noProof w:val="0"/>
                <w:sz w:val="28"/>
                <w:szCs w:val="28"/>
                <w:rtl/>
              </w:rPr>
            </w:pPr>
          </w:p>
        </w:tc>
      </w:tr>
      <w:tr w:rsidR="00393335" w:rsidRPr="00B06385">
        <w:trPr>
          <w:jc w:val="center"/>
        </w:trPr>
        <w:tc>
          <w:tcPr>
            <w:tcW w:w="8820" w:type="dxa"/>
            <w:gridSpan w:val="3"/>
          </w:tcPr>
          <w:p w:rsidR="00393335" w:rsidRPr="00B06385" w:rsidRDefault="00B06385">
            <w:pPr>
              <w:spacing w:line="360" w:lineRule="auto"/>
              <w:rPr>
                <w:rFonts w:ascii="Arial" w:hAnsi="Arial"/>
                <w:b/>
                <w:bCs/>
                <w:sz w:val="28"/>
                <w:szCs w:val="28"/>
                <w:rtl/>
              </w:rPr>
            </w:pPr>
            <w:r w:rsidRPr="00B06385">
              <w:rPr>
                <w:rFonts w:ascii="Arial" w:hAnsi="Arial" w:hint="cs"/>
                <w:b/>
                <w:bCs/>
                <w:sz w:val="28"/>
                <w:szCs w:val="28"/>
                <w:rtl/>
              </w:rPr>
              <w:t>כב' ה</w:t>
            </w:r>
            <w:r w:rsidRPr="00B06385">
              <w:rPr>
                <w:rFonts w:hint="cs"/>
                <w:sz w:val="28"/>
                <w:szCs w:val="28"/>
                <w:rtl/>
              </w:rPr>
              <w:t>שופט</w:t>
            </w:r>
            <w:r w:rsidRPr="00B06385">
              <w:rPr>
                <w:rFonts w:ascii="Arial" w:hAnsi="Arial" w:hint="cs"/>
                <w:b/>
                <w:bCs/>
                <w:sz w:val="28"/>
                <w:szCs w:val="28"/>
                <w:rtl/>
              </w:rPr>
              <w:t xml:space="preserve"> ד"ר </w:t>
            </w:r>
            <w:r w:rsidRPr="00B06385">
              <w:rPr>
                <w:rFonts w:hint="cs"/>
                <w:sz w:val="28"/>
                <w:szCs w:val="28"/>
                <w:rtl/>
              </w:rPr>
              <w:t>יצחק לובוצקי</w:t>
            </w:r>
          </w:p>
          <w:p w:rsidR="00393335" w:rsidRPr="00B06385" w:rsidRDefault="00B06385">
            <w:pPr>
              <w:spacing w:line="360" w:lineRule="auto"/>
              <w:rPr>
                <w:b/>
                <w:bCs/>
                <w:sz w:val="28"/>
                <w:szCs w:val="28"/>
                <w:rtl/>
              </w:rPr>
            </w:pPr>
            <w:r w:rsidRPr="00B06385">
              <w:rPr>
                <w:b/>
                <w:bCs/>
                <w:sz w:val="28"/>
                <w:szCs w:val="28"/>
                <w:rtl/>
              </w:rPr>
              <w:t>נציג ציבור מעבידים מר</w:t>
            </w:r>
            <w:r w:rsidRPr="00B06385">
              <w:rPr>
                <w:rFonts w:hint="cs"/>
                <w:b/>
                <w:bCs/>
                <w:sz w:val="28"/>
                <w:szCs w:val="28"/>
                <w:rtl/>
              </w:rPr>
              <w:t xml:space="preserve"> יוסי שוסטק</w:t>
            </w:r>
          </w:p>
          <w:p w:rsidR="00393335" w:rsidRPr="00B06385" w:rsidRDefault="00393335">
            <w:pPr>
              <w:spacing w:line="360" w:lineRule="auto"/>
              <w:rPr>
                <w:b/>
                <w:bCs/>
                <w:sz w:val="28"/>
                <w:szCs w:val="28"/>
              </w:rPr>
            </w:pPr>
          </w:p>
        </w:tc>
      </w:tr>
      <w:tr w:rsidR="00393335" w:rsidRPr="00B06385">
        <w:trPr>
          <w:jc w:val="center"/>
        </w:trPr>
        <w:tc>
          <w:tcPr>
            <w:tcW w:w="3249" w:type="dxa"/>
          </w:tcPr>
          <w:p w:rsidR="00393335" w:rsidRPr="00B06385" w:rsidRDefault="00B06385">
            <w:pPr>
              <w:rPr>
                <w:rFonts w:ascii="Arial" w:hAnsi="Arial"/>
                <w:b/>
                <w:bCs/>
                <w:noProof w:val="0"/>
                <w:sz w:val="28"/>
                <w:szCs w:val="28"/>
                <w:rtl/>
              </w:rPr>
            </w:pPr>
            <w:bookmarkStart w:id="1" w:name="FirstAppellant"/>
            <w:bookmarkStart w:id="2" w:name="FirstLawyer"/>
            <w:r w:rsidRPr="00B06385">
              <w:rPr>
                <w:rFonts w:hint="cs"/>
                <w:b/>
                <w:bCs/>
                <w:sz w:val="28"/>
                <w:szCs w:val="28"/>
                <w:rtl/>
              </w:rPr>
              <w:t>התובעת</w:t>
            </w:r>
          </w:p>
        </w:tc>
        <w:tc>
          <w:tcPr>
            <w:tcW w:w="5571" w:type="dxa"/>
            <w:gridSpan w:val="2"/>
          </w:tcPr>
          <w:p w:rsidR="00393335" w:rsidRPr="00B06385" w:rsidRDefault="00B06385">
            <w:pPr>
              <w:spacing w:line="360" w:lineRule="auto"/>
              <w:rPr>
                <w:sz w:val="28"/>
                <w:szCs w:val="28"/>
                <w:rtl/>
              </w:rPr>
            </w:pPr>
            <w:r w:rsidRPr="00B06385">
              <w:rPr>
                <w:rFonts w:hint="cs"/>
                <w:sz w:val="28"/>
                <w:szCs w:val="28"/>
                <w:rtl/>
              </w:rPr>
              <w:t>פוליבצב פאינה</w:t>
            </w:r>
          </w:p>
          <w:p w:rsidR="00393335" w:rsidRPr="00B06385" w:rsidRDefault="00B06385">
            <w:pPr>
              <w:spacing w:line="360" w:lineRule="auto"/>
              <w:rPr>
                <w:b/>
                <w:bCs/>
                <w:noProof w:val="0"/>
                <w:sz w:val="28"/>
                <w:szCs w:val="28"/>
              </w:rPr>
            </w:pPr>
            <w:r w:rsidRPr="00B06385">
              <w:rPr>
                <w:rFonts w:hint="cs"/>
                <w:b/>
                <w:bCs/>
                <w:sz w:val="28"/>
                <w:szCs w:val="28"/>
                <w:rtl/>
              </w:rPr>
              <w:t>ע"י ב"כ עו"ד</w:t>
            </w:r>
            <w:r w:rsidRPr="00B06385">
              <w:rPr>
                <w:rFonts w:hint="cs"/>
                <w:b/>
                <w:bCs/>
                <w:noProof w:val="0"/>
                <w:sz w:val="28"/>
                <w:szCs w:val="28"/>
                <w:rtl/>
              </w:rPr>
              <w:t xml:space="preserve"> אלכסנדר ספינרד</w:t>
            </w:r>
          </w:p>
        </w:tc>
      </w:tr>
      <w:bookmarkEnd w:id="1"/>
      <w:bookmarkEnd w:id="2"/>
      <w:tr w:rsidR="00393335" w:rsidRPr="00B06385">
        <w:trPr>
          <w:jc w:val="center"/>
        </w:trPr>
        <w:tc>
          <w:tcPr>
            <w:tcW w:w="8820" w:type="dxa"/>
            <w:gridSpan w:val="3"/>
          </w:tcPr>
          <w:p w:rsidR="00393335" w:rsidRPr="00B06385" w:rsidRDefault="00B06385">
            <w:pPr>
              <w:spacing w:before="240" w:after="240" w:line="360" w:lineRule="auto"/>
              <w:jc w:val="center"/>
              <w:rPr>
                <w:rFonts w:ascii="Arial" w:hAnsi="Arial"/>
                <w:b/>
                <w:bCs/>
                <w:noProof w:val="0"/>
                <w:sz w:val="28"/>
                <w:szCs w:val="28"/>
              </w:rPr>
            </w:pPr>
            <w:r w:rsidRPr="00B06385">
              <w:rPr>
                <w:rFonts w:ascii="Arial" w:hAnsi="Arial" w:hint="cs"/>
                <w:b/>
                <w:bCs/>
                <w:noProof w:val="0"/>
                <w:sz w:val="28"/>
                <w:szCs w:val="28"/>
                <w:rtl/>
              </w:rPr>
              <w:t>-</w:t>
            </w:r>
          </w:p>
        </w:tc>
      </w:tr>
      <w:tr w:rsidR="00393335" w:rsidRPr="00B06385">
        <w:trPr>
          <w:jc w:val="center"/>
        </w:trPr>
        <w:tc>
          <w:tcPr>
            <w:tcW w:w="3249" w:type="dxa"/>
          </w:tcPr>
          <w:p w:rsidR="00393335" w:rsidRPr="00B06385" w:rsidRDefault="00B06385">
            <w:pPr>
              <w:rPr>
                <w:rFonts w:ascii="Arial" w:hAnsi="Arial"/>
                <w:b/>
                <w:bCs/>
                <w:noProof w:val="0"/>
                <w:sz w:val="28"/>
                <w:szCs w:val="28"/>
              </w:rPr>
            </w:pPr>
            <w:r w:rsidRPr="00B06385">
              <w:rPr>
                <w:rFonts w:hint="cs"/>
                <w:b/>
                <w:bCs/>
                <w:sz w:val="28"/>
                <w:szCs w:val="28"/>
                <w:rtl/>
              </w:rPr>
              <w:t>הנתבעים</w:t>
            </w:r>
          </w:p>
        </w:tc>
        <w:tc>
          <w:tcPr>
            <w:tcW w:w="5571" w:type="dxa"/>
            <w:gridSpan w:val="2"/>
          </w:tcPr>
          <w:p w:rsidR="00393335" w:rsidRPr="00B06385" w:rsidRDefault="00B06385">
            <w:pPr>
              <w:spacing w:line="360" w:lineRule="auto"/>
              <w:rPr>
                <w:sz w:val="28"/>
                <w:szCs w:val="28"/>
                <w:rtl/>
              </w:rPr>
            </w:pPr>
            <w:r w:rsidRPr="00B06385">
              <w:rPr>
                <w:rFonts w:hint="cs"/>
                <w:sz w:val="28"/>
                <w:szCs w:val="28"/>
                <w:rtl/>
              </w:rPr>
              <w:t>1</w:t>
            </w:r>
            <w:r w:rsidRPr="00B06385">
              <w:rPr>
                <w:rFonts w:ascii="Arial" w:hAnsi="Arial"/>
                <w:b/>
                <w:bCs/>
                <w:noProof w:val="0"/>
                <w:sz w:val="28"/>
                <w:szCs w:val="28"/>
                <w:rtl/>
              </w:rPr>
              <w:t xml:space="preserve">. </w:t>
            </w:r>
            <w:r w:rsidRPr="00B06385">
              <w:rPr>
                <w:rFonts w:hint="cs"/>
                <w:sz w:val="28"/>
                <w:szCs w:val="28"/>
                <w:rtl/>
              </w:rPr>
              <w:t>אברהם יצחק יעקב שירותים בע"מ</w:t>
            </w:r>
          </w:p>
          <w:p w:rsidR="00393335" w:rsidRPr="00B06385" w:rsidRDefault="00B06385">
            <w:pPr>
              <w:spacing w:line="360" w:lineRule="auto"/>
              <w:rPr>
                <w:sz w:val="28"/>
                <w:szCs w:val="28"/>
                <w:rtl/>
              </w:rPr>
            </w:pPr>
            <w:r w:rsidRPr="00B06385">
              <w:rPr>
                <w:rFonts w:hint="cs"/>
                <w:sz w:val="28"/>
                <w:szCs w:val="28"/>
                <w:rtl/>
              </w:rPr>
              <w:t>2</w:t>
            </w:r>
            <w:r w:rsidRPr="00B06385">
              <w:rPr>
                <w:rFonts w:ascii="Arial" w:hAnsi="Arial"/>
                <w:b/>
                <w:bCs/>
                <w:noProof w:val="0"/>
                <w:sz w:val="28"/>
                <w:szCs w:val="28"/>
                <w:rtl/>
              </w:rPr>
              <w:t xml:space="preserve">. </w:t>
            </w:r>
            <w:r w:rsidRPr="00B06385">
              <w:rPr>
                <w:rFonts w:hint="cs"/>
                <w:sz w:val="28"/>
                <w:szCs w:val="28"/>
                <w:rtl/>
              </w:rPr>
              <w:t>סימון שמש</w:t>
            </w:r>
          </w:p>
          <w:p w:rsidR="00393335" w:rsidRPr="00B06385" w:rsidRDefault="00B06385">
            <w:pPr>
              <w:spacing w:line="360" w:lineRule="auto"/>
              <w:rPr>
                <w:sz w:val="28"/>
                <w:szCs w:val="28"/>
                <w:rtl/>
              </w:rPr>
            </w:pPr>
            <w:r w:rsidRPr="00B06385">
              <w:rPr>
                <w:rFonts w:hint="cs"/>
                <w:b/>
                <w:bCs/>
                <w:sz w:val="28"/>
                <w:szCs w:val="28"/>
                <w:rtl/>
              </w:rPr>
              <w:t>ע"י ב"כ עו"ד הדס שגיא ויינבאום</w:t>
            </w:r>
          </w:p>
        </w:tc>
      </w:tr>
    </w:tbl>
    <w:p w:rsidR="00C10902" w:rsidRDefault="00C10902">
      <w:pPr>
        <w:rPr>
          <w:sz w:val="28"/>
          <w:szCs w:val="28"/>
          <w:rtl/>
        </w:rPr>
      </w:pPr>
      <w:bookmarkStart w:id="3" w:name="LawTable"/>
      <w:bookmarkEnd w:id="3"/>
    </w:p>
    <w:p w:rsidR="00C10902" w:rsidRPr="00C10902" w:rsidRDefault="00C10902" w:rsidP="00C10902">
      <w:pPr>
        <w:spacing w:after="120" w:line="240" w:lineRule="exact"/>
        <w:ind w:left="283" w:hanging="283"/>
        <w:jc w:val="both"/>
        <w:rPr>
          <w:rFonts w:ascii="FrankRuehl" w:hAnsi="FrankRuehl" w:cs="FrankRuehl"/>
          <w:rtl/>
        </w:rPr>
      </w:pPr>
      <w:r w:rsidRPr="00C10902">
        <w:rPr>
          <w:rFonts w:ascii="FrankRuehl" w:hAnsi="FrankRuehl" w:cs="FrankRuehl"/>
          <w:rtl/>
        </w:rPr>
        <w:t xml:space="preserve">חקיקה שאוזכרה: </w:t>
      </w:r>
    </w:p>
    <w:p w:rsidR="00C10902" w:rsidRPr="00C10902" w:rsidRDefault="00C10902" w:rsidP="00C10902">
      <w:pPr>
        <w:spacing w:after="120" w:line="240" w:lineRule="exact"/>
        <w:ind w:left="283" w:hanging="283"/>
        <w:jc w:val="both"/>
        <w:rPr>
          <w:rFonts w:ascii="FrankRuehl" w:hAnsi="FrankRuehl" w:cs="FrankRuehl"/>
          <w:rtl/>
        </w:rPr>
      </w:pPr>
      <w:hyperlink r:id="rId7" w:history="1">
        <w:r w:rsidRPr="00C10902">
          <w:rPr>
            <w:rFonts w:ascii="FrankRuehl" w:hAnsi="FrankRuehl" w:cs="FrankRuehl"/>
            <w:color w:val="0000FF"/>
            <w:u w:val="single"/>
            <w:rtl/>
          </w:rPr>
          <w:t>חוק הגנת השכר, תשי"ח-1958</w:t>
        </w:r>
      </w:hyperlink>
      <w:r w:rsidRPr="00C10902">
        <w:rPr>
          <w:rFonts w:ascii="FrankRuehl" w:hAnsi="FrankRuehl" w:cs="FrankRuehl"/>
          <w:rtl/>
        </w:rPr>
        <w:t xml:space="preserve">: סע'  </w:t>
      </w:r>
      <w:hyperlink r:id="rId8" w:history="1">
        <w:r w:rsidRPr="00C10902">
          <w:rPr>
            <w:rFonts w:ascii="FrankRuehl" w:hAnsi="FrankRuehl" w:cs="FrankRuehl"/>
            <w:color w:val="0000FF"/>
            <w:u w:val="single"/>
            <w:rtl/>
          </w:rPr>
          <w:t>17א.</w:t>
        </w:r>
      </w:hyperlink>
    </w:p>
    <w:p w:rsidR="00C10902" w:rsidRPr="00C10902" w:rsidRDefault="00C10902" w:rsidP="00C10902">
      <w:pPr>
        <w:spacing w:after="120" w:line="240" w:lineRule="exact"/>
        <w:ind w:left="283" w:hanging="283"/>
        <w:jc w:val="both"/>
        <w:rPr>
          <w:rFonts w:ascii="FrankRuehl" w:hAnsi="FrankRuehl" w:cs="FrankRuehl"/>
          <w:rtl/>
        </w:rPr>
      </w:pPr>
      <w:hyperlink r:id="rId9" w:history="1">
        <w:r w:rsidRPr="00C10902">
          <w:rPr>
            <w:rFonts w:ascii="FrankRuehl" w:hAnsi="FrankRuehl" w:cs="FrankRuehl"/>
            <w:color w:val="0000FF"/>
            <w:u w:val="single"/>
            <w:rtl/>
          </w:rPr>
          <w:t>חוק בית הדין לעבודה, תשכ"ט-1969</w:t>
        </w:r>
      </w:hyperlink>
    </w:p>
    <w:p w:rsidR="00C10902" w:rsidRPr="00C10902" w:rsidRDefault="00C10902" w:rsidP="00C10902">
      <w:pPr>
        <w:spacing w:after="120" w:line="240" w:lineRule="exact"/>
        <w:ind w:left="283" w:hanging="283"/>
        <w:jc w:val="both"/>
        <w:rPr>
          <w:rFonts w:ascii="FrankRuehl" w:hAnsi="FrankRuehl" w:cs="FrankRuehl"/>
          <w:rtl/>
        </w:rPr>
      </w:pPr>
      <w:hyperlink r:id="rId10" w:history="1">
        <w:r w:rsidRPr="00C10902">
          <w:rPr>
            <w:rFonts w:ascii="FrankRuehl" w:hAnsi="FrankRuehl" w:cs="FrankRuehl"/>
            <w:color w:val="0000FF"/>
            <w:u w:val="single"/>
            <w:rtl/>
          </w:rPr>
          <w:t>חוק חופשה שנתית, תשי"א-1951</w:t>
        </w:r>
      </w:hyperlink>
    </w:p>
    <w:p w:rsidR="00C10902" w:rsidRPr="00C10902" w:rsidRDefault="00C10902" w:rsidP="00C10902">
      <w:pPr>
        <w:spacing w:after="120" w:line="240" w:lineRule="exact"/>
        <w:ind w:left="283" w:hanging="283"/>
        <w:jc w:val="both"/>
        <w:rPr>
          <w:rFonts w:ascii="FrankRuehl" w:hAnsi="FrankRuehl" w:cs="FrankRuehl"/>
          <w:rtl/>
        </w:rPr>
      </w:pPr>
    </w:p>
    <w:tbl>
      <w:tblPr>
        <w:bidiVisual/>
        <w:tblW w:w="8820" w:type="dxa"/>
        <w:jc w:val="center"/>
        <w:tblLook w:val="01E0"/>
      </w:tblPr>
      <w:tblGrid>
        <w:gridCol w:w="8820"/>
      </w:tblGrid>
      <w:tr w:rsidR="00393335">
        <w:trPr>
          <w:jc w:val="center"/>
        </w:trPr>
        <w:tc>
          <w:tcPr>
            <w:tcW w:w="8820" w:type="dxa"/>
          </w:tcPr>
          <w:p w:rsidR="00B06385" w:rsidRPr="00B06385" w:rsidRDefault="00B06385" w:rsidP="00B06385">
            <w:pPr>
              <w:bidi w:val="0"/>
              <w:jc w:val="center"/>
              <w:rPr>
                <w:rFonts w:ascii="Arial" w:hAnsi="Arial"/>
                <w:b/>
                <w:bCs/>
                <w:noProof w:val="0"/>
                <w:sz w:val="34"/>
                <w:szCs w:val="34"/>
                <w:u w:val="single"/>
                <w:rtl/>
              </w:rPr>
            </w:pPr>
            <w:bookmarkStart w:id="4" w:name="LawTable_End"/>
            <w:bookmarkStart w:id="5" w:name="PsakDin" w:colFirst="0" w:colLast="0"/>
            <w:bookmarkEnd w:id="0"/>
            <w:bookmarkEnd w:id="4"/>
            <w:r w:rsidRPr="00B06385">
              <w:rPr>
                <w:rFonts w:ascii="Arial" w:hAnsi="Arial"/>
                <w:b/>
                <w:bCs/>
                <w:noProof w:val="0"/>
                <w:sz w:val="34"/>
                <w:szCs w:val="34"/>
                <w:u w:val="single"/>
                <w:rtl/>
              </w:rPr>
              <w:t>פסק דין</w:t>
            </w:r>
          </w:p>
          <w:p w:rsidR="00393335" w:rsidRPr="00B06385" w:rsidRDefault="00393335" w:rsidP="00B06385">
            <w:pPr>
              <w:bidi w:val="0"/>
              <w:jc w:val="center"/>
              <w:rPr>
                <w:rFonts w:ascii="Arial" w:hAnsi="Arial"/>
                <w:b/>
                <w:bCs/>
                <w:noProof w:val="0"/>
                <w:sz w:val="34"/>
                <w:szCs w:val="34"/>
                <w:u w:val="single"/>
              </w:rPr>
            </w:pPr>
          </w:p>
        </w:tc>
      </w:tr>
      <w:bookmarkEnd w:id="5"/>
    </w:tbl>
    <w:p w:rsidR="00393335" w:rsidRDefault="00393335">
      <w:pPr>
        <w:spacing w:line="360" w:lineRule="auto"/>
        <w:jc w:val="both"/>
        <w:rPr>
          <w:sz w:val="28"/>
          <w:szCs w:val="28"/>
          <w:rtl/>
        </w:rPr>
      </w:pPr>
    </w:p>
    <w:p w:rsidR="00393335" w:rsidRDefault="00B06385">
      <w:pPr>
        <w:spacing w:line="360" w:lineRule="auto"/>
        <w:jc w:val="both"/>
        <w:rPr>
          <w:sz w:val="28"/>
          <w:szCs w:val="28"/>
          <w:rtl/>
        </w:rPr>
      </w:pPr>
      <w:bookmarkStart w:id="6" w:name="ABSTRACT_START"/>
      <w:bookmarkEnd w:id="6"/>
      <w:r>
        <w:rPr>
          <w:rFonts w:hint="cs"/>
          <w:sz w:val="28"/>
          <w:szCs w:val="28"/>
          <w:rtl/>
        </w:rPr>
        <w:t>התובעת (להלן גם:</w:t>
      </w:r>
      <w:r>
        <w:rPr>
          <w:rFonts w:hint="cs"/>
          <w:b/>
          <w:bCs/>
          <w:sz w:val="28"/>
          <w:szCs w:val="28"/>
          <w:rtl/>
        </w:rPr>
        <w:t xml:space="preserve"> "העובדת"</w:t>
      </w:r>
      <w:r>
        <w:rPr>
          <w:rFonts w:hint="cs"/>
          <w:sz w:val="28"/>
          <w:szCs w:val="28"/>
          <w:rtl/>
        </w:rPr>
        <w:t xml:space="preserve">) הועסקה אצל הנתבעים ו/או מי מהם בתפקיד ממיינת ואורזת עיתונים, החל מחודש 6/03 ועד להתפטרותה ביום 22.10.2008, בשל מצבה הרפואי. </w:t>
      </w:r>
    </w:p>
    <w:p w:rsidR="00393335" w:rsidRDefault="00B06385">
      <w:pPr>
        <w:spacing w:line="360" w:lineRule="auto"/>
        <w:jc w:val="both"/>
        <w:rPr>
          <w:sz w:val="28"/>
          <w:szCs w:val="28"/>
          <w:rtl/>
        </w:rPr>
      </w:pPr>
      <w:r>
        <w:rPr>
          <w:rFonts w:hint="cs"/>
          <w:sz w:val="28"/>
          <w:szCs w:val="28"/>
          <w:rtl/>
        </w:rPr>
        <w:t>(התובעת הועסקה תקופה נוספת וקודמת החל משנת 1993 עד שנת 2000, אך אין מחלוקת כי תקופה זו אינה באה במסגרת תביעתה).</w:t>
      </w:r>
    </w:p>
    <w:p w:rsidR="00393335" w:rsidRDefault="00393335">
      <w:pPr>
        <w:spacing w:line="360" w:lineRule="auto"/>
        <w:jc w:val="both"/>
        <w:rPr>
          <w:sz w:val="28"/>
          <w:szCs w:val="28"/>
          <w:rtl/>
        </w:rPr>
      </w:pPr>
      <w:bookmarkStart w:id="7" w:name="ABSTRACT_END"/>
      <w:bookmarkEnd w:id="7"/>
    </w:p>
    <w:p w:rsidR="00393335" w:rsidRDefault="00B06385">
      <w:pPr>
        <w:spacing w:line="360" w:lineRule="auto"/>
        <w:jc w:val="both"/>
        <w:rPr>
          <w:sz w:val="28"/>
          <w:szCs w:val="28"/>
          <w:rtl/>
        </w:rPr>
      </w:pPr>
      <w:r>
        <w:rPr>
          <w:rFonts w:hint="cs"/>
          <w:sz w:val="28"/>
          <w:szCs w:val="28"/>
          <w:rtl/>
        </w:rPr>
        <w:t>העובדת עותרת לחיוב הנתבעים ביחד ולחוד, בתביעות כדלקמן:</w:t>
      </w:r>
    </w:p>
    <w:p w:rsidR="00393335" w:rsidRDefault="00393335">
      <w:pPr>
        <w:spacing w:line="360" w:lineRule="auto"/>
        <w:jc w:val="both"/>
        <w:rPr>
          <w:sz w:val="28"/>
          <w:szCs w:val="28"/>
          <w:rtl/>
        </w:rPr>
      </w:pPr>
    </w:p>
    <w:p w:rsidR="00393335" w:rsidRDefault="00B06385">
      <w:pPr>
        <w:pStyle w:val="ListParagraph"/>
        <w:numPr>
          <w:ilvl w:val="0"/>
          <w:numId w:val="1"/>
        </w:numPr>
        <w:spacing w:after="0" w:line="360" w:lineRule="auto"/>
        <w:jc w:val="both"/>
        <w:rPr>
          <w:rFonts w:cs="David"/>
          <w:sz w:val="28"/>
          <w:szCs w:val="28"/>
          <w:rtl/>
        </w:rPr>
      </w:pPr>
      <w:r>
        <w:rPr>
          <w:rFonts w:cs="David" w:hint="cs"/>
          <w:sz w:val="28"/>
          <w:szCs w:val="28"/>
          <w:rtl/>
        </w:rPr>
        <w:lastRenderedPageBreak/>
        <w:t>"גמול שעות נוספות".</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"פיצויי הלנת פיצויי פיטורים".</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"הפרשי חופשה".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"השתתפות בארוחה בשעות נוספות".</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"דמי נסיעות".</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"מענקי חג".</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"בגדי עבודה".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"ביטוח דמי מחלה".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"תשלום בעד ימי מחלה".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"דמי מחלה לאחר הפסקת עבודה".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"תוספת וותק".</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"הפרשות לקרן פנסיה".</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"קרן השתלמות".</w:t>
      </w:r>
    </w:p>
    <w:p w:rsidR="00393335" w:rsidRDefault="00B06385">
      <w:pPr>
        <w:pStyle w:val="ListParagraph"/>
        <w:numPr>
          <w:ilvl w:val="0"/>
          <w:numId w:val="1"/>
        </w:numPr>
        <w:spacing w:after="0" w:line="360" w:lineRule="auto"/>
        <w:jc w:val="both"/>
        <w:rPr>
          <w:rFonts w:cs="David"/>
          <w:sz w:val="28"/>
          <w:szCs w:val="28"/>
        </w:rPr>
      </w:pPr>
      <w:r>
        <w:rPr>
          <w:rFonts w:cs="David" w:hint="cs"/>
          <w:sz w:val="28"/>
          <w:szCs w:val="28"/>
          <w:rtl/>
        </w:rPr>
        <w:t>"תוספת לילה".</w:t>
      </w:r>
    </w:p>
    <w:p w:rsidR="00393335" w:rsidRDefault="00393335">
      <w:pPr>
        <w:spacing w:line="360" w:lineRule="auto"/>
        <w:jc w:val="both"/>
        <w:rPr>
          <w:sz w:val="28"/>
          <w:szCs w:val="28"/>
        </w:rPr>
      </w:pPr>
    </w:p>
    <w:p w:rsidR="00393335" w:rsidRDefault="00B06385">
      <w:pPr>
        <w:spacing w:line="360" w:lineRule="auto"/>
        <w:jc w:val="both"/>
        <w:rPr>
          <w:rFonts w:ascii="Arial" w:hAnsi="Arial"/>
          <w:sz w:val="28"/>
          <w:szCs w:val="28"/>
          <w:rtl/>
        </w:rPr>
      </w:pPr>
      <w:r>
        <w:rPr>
          <w:rFonts w:ascii="Arial" w:hAnsi="Arial" w:hint="cs"/>
          <w:sz w:val="28"/>
          <w:szCs w:val="28"/>
          <w:rtl/>
        </w:rPr>
        <w:t>נקדים ונגלה כי לא מצאנו תשתית ראייתית או משפטית לחייב את נתבעת מס' 2 – גב' סימון שמש, מנהלת הנתבעת 1 ובעלת מניות בה (</w:t>
      </w:r>
      <w:r>
        <w:rPr>
          <w:rFonts w:ascii="Arial" w:hAnsi="Arial" w:hint="cs"/>
          <w:b/>
          <w:bCs/>
          <w:sz w:val="28"/>
          <w:szCs w:val="28"/>
          <w:rtl/>
        </w:rPr>
        <w:t>להלן</w:t>
      </w:r>
      <w:r>
        <w:rPr>
          <w:rFonts w:ascii="Arial" w:hAnsi="Arial" w:hint="cs"/>
          <w:sz w:val="28"/>
          <w:szCs w:val="28"/>
          <w:rtl/>
        </w:rPr>
        <w:t xml:space="preserve">: </w:t>
      </w:r>
      <w:r>
        <w:rPr>
          <w:rFonts w:ascii="Arial" w:hAnsi="Arial" w:hint="cs"/>
          <w:b/>
          <w:bCs/>
          <w:sz w:val="28"/>
          <w:szCs w:val="28"/>
          <w:rtl/>
        </w:rPr>
        <w:t>"סימון"</w:t>
      </w:r>
      <w:r>
        <w:rPr>
          <w:rFonts w:ascii="Arial" w:hAnsi="Arial" w:hint="cs"/>
          <w:sz w:val="28"/>
          <w:szCs w:val="28"/>
          <w:rtl/>
        </w:rPr>
        <w:t xml:space="preserve">), בחובותיו של המעביד, וממילא התביעה כנגד סימון תידחה בהעדר יחסי עובד ומעביד. שכן, אין במתן שירות בפועל לחברה כדי להפוך את בעל המניות בה למעביד כשהוא לעצמו. אפילו בעל מניות שנהג להזרים כספים לחברה לפירעון חובותיה לא הוכר על ידי ביה"ד "כמעביד" </w:t>
      </w:r>
      <w:r>
        <w:rPr>
          <w:rFonts w:ascii="Arial" w:hAnsi="Arial" w:hint="cs"/>
          <w:rtl/>
        </w:rPr>
        <w:t>(</w:t>
      </w:r>
      <w:r w:rsidRPr="00B06385">
        <w:rPr>
          <w:rFonts w:ascii="Arial" w:hAnsi="Arial" w:hint="cs"/>
          <w:b/>
          <w:bCs/>
          <w:color w:val="000000"/>
          <w:rtl/>
        </w:rPr>
        <w:t>דב"ע נא/3-52</w:t>
      </w:r>
      <w:r>
        <w:rPr>
          <w:rFonts w:ascii="Arial" w:hAnsi="Arial" w:hint="cs"/>
          <w:b/>
          <w:bCs/>
          <w:rtl/>
        </w:rPr>
        <w:t>דוד יצחק נ' תנועת המושבים</w:t>
      </w:r>
      <w:r>
        <w:rPr>
          <w:rFonts w:ascii="Arial" w:hAnsi="Arial" w:hint="cs"/>
          <w:rtl/>
        </w:rPr>
        <w:t>, סע' 10 לפסה"ד)</w:t>
      </w:r>
      <w:r>
        <w:rPr>
          <w:rFonts w:ascii="Arial" w:hAnsi="Arial" w:hint="cs"/>
          <w:sz w:val="28"/>
          <w:szCs w:val="28"/>
          <w:rtl/>
        </w:rPr>
        <w:t xml:space="preserve">. כב' השופט פליטמן (לימים נשיא ביה"ד הארצי), סבור שאין למהר בראיית בעל מניות כמי שמתנהג ב"חוסר תום לב" אלא במקרים חריגים </w:t>
      </w:r>
      <w:r>
        <w:rPr>
          <w:rFonts w:ascii="Arial" w:hAnsi="Arial" w:hint="cs"/>
          <w:rtl/>
        </w:rPr>
        <w:t>(</w:t>
      </w:r>
      <w:hyperlink r:id="rId11" w:history="1">
        <w:r w:rsidRPr="00B06385">
          <w:rPr>
            <w:rFonts w:ascii="Arial" w:hAnsi="Arial"/>
            <w:b/>
            <w:bCs/>
            <w:color w:val="0000FF"/>
            <w:u w:val="single"/>
            <w:rtl/>
          </w:rPr>
          <w:t>ע"ע 1017/04</w:t>
        </w:r>
      </w:hyperlink>
      <w:r>
        <w:rPr>
          <w:rFonts w:ascii="Arial" w:hAnsi="Arial" w:hint="cs"/>
          <w:b/>
          <w:bCs/>
          <w:rtl/>
        </w:rPr>
        <w:t xml:space="preserve"> ענבר נ' בן מנשה</w:t>
      </w:r>
      <w:r>
        <w:rPr>
          <w:rFonts w:ascii="Arial" w:hAnsi="Arial" w:hint="cs"/>
          <w:rtl/>
        </w:rPr>
        <w:t>, פס"ד מיום 27.10.05)</w:t>
      </w:r>
      <w:r>
        <w:rPr>
          <w:rFonts w:ascii="Arial" w:hAnsi="Arial" w:hint="cs"/>
          <w:sz w:val="28"/>
          <w:szCs w:val="28"/>
          <w:rtl/>
        </w:rPr>
        <w:t>. לא שוכנענו כי זהו אחד מאותם מקרים חריגים שכאלה, המצדיקים הרמת מסך ההתאגדות וחיובה האישי של סימון בחובות החברה.</w:t>
      </w:r>
    </w:p>
    <w:p w:rsidR="00393335" w:rsidRDefault="00B06385">
      <w:pPr>
        <w:spacing w:line="360" w:lineRule="auto"/>
        <w:jc w:val="both"/>
        <w:rPr>
          <w:sz w:val="28"/>
          <w:szCs w:val="28"/>
          <w:rtl/>
        </w:rPr>
      </w:pPr>
      <w:r>
        <w:rPr>
          <w:rFonts w:ascii="Arial" w:hAnsi="Arial" w:hint="cs"/>
          <w:sz w:val="28"/>
          <w:szCs w:val="28"/>
          <w:rtl/>
        </w:rPr>
        <w:t xml:space="preserve">נותר אפוא דיון במחויבותו של המעביד (נתבעת 1 בלבד) כלפי העובדת, בכל הקשור לתקופת העבודה. </w:t>
      </w:r>
    </w:p>
    <w:p w:rsidR="00393335" w:rsidRDefault="00393335">
      <w:pPr>
        <w:spacing w:line="360" w:lineRule="auto"/>
        <w:jc w:val="both"/>
        <w:rPr>
          <w:rFonts w:ascii="Calibri" w:eastAsia="Calibri" w:hAnsi="Calibri"/>
          <w:sz w:val="28"/>
          <w:szCs w:val="28"/>
          <w:rtl/>
        </w:rPr>
      </w:pPr>
    </w:p>
    <w:p w:rsidR="00393335" w:rsidRDefault="00B06385">
      <w:pPr>
        <w:spacing w:line="360" w:lineRule="auto"/>
        <w:jc w:val="both"/>
        <w:rPr>
          <w:sz w:val="28"/>
          <w:szCs w:val="28"/>
          <w:rtl/>
        </w:rPr>
      </w:pPr>
      <w:r>
        <w:rPr>
          <w:rFonts w:hint="cs"/>
          <w:b/>
          <w:bCs/>
          <w:sz w:val="28"/>
          <w:szCs w:val="28"/>
          <w:u w:val="single"/>
          <w:rtl/>
        </w:rPr>
        <w:t>שאלת תחולתו של צו ההרחבה בענף הדפוס</w:t>
      </w:r>
      <w:r>
        <w:rPr>
          <w:rFonts w:hint="cs"/>
          <w:sz w:val="28"/>
          <w:szCs w:val="28"/>
          <w:rtl/>
        </w:rPr>
        <w:t>:</w:t>
      </w:r>
    </w:p>
    <w:p w:rsidR="00393335" w:rsidRDefault="00393335">
      <w:pPr>
        <w:spacing w:line="360" w:lineRule="auto"/>
        <w:jc w:val="both"/>
        <w:rPr>
          <w:sz w:val="28"/>
          <w:szCs w:val="28"/>
          <w:u w:val="single"/>
          <w:rtl/>
        </w:rPr>
      </w:pPr>
    </w:p>
    <w:p w:rsidR="00393335" w:rsidRDefault="00B06385">
      <w:pPr>
        <w:pStyle w:val="1"/>
        <w:spacing w:line="360" w:lineRule="auto"/>
        <w:ind w:left="0"/>
        <w:jc w:val="both"/>
        <w:rPr>
          <w:rFonts w:cs="David"/>
          <w:sz w:val="24"/>
          <w:szCs w:val="24"/>
          <w:rtl/>
        </w:rPr>
      </w:pPr>
      <w:r>
        <w:rPr>
          <w:rFonts w:ascii="Arial" w:hAnsi="Arial" w:cs="David" w:hint="cs"/>
          <w:sz w:val="28"/>
          <w:szCs w:val="28"/>
          <w:rtl/>
        </w:rPr>
        <w:lastRenderedPageBreak/>
        <w:t xml:space="preserve">על פי הפסיקה, </w:t>
      </w:r>
      <w:r>
        <w:rPr>
          <w:rFonts w:cs="David" w:hint="cs"/>
          <w:sz w:val="28"/>
          <w:szCs w:val="28"/>
          <w:rtl/>
        </w:rPr>
        <w:t xml:space="preserve">שאלת תחולתו של צו הרחבה היא שאלה שבעובדה המשולבת בקביעה משפטית לגבי סיווג עסקו של המעביד, דהיינו הפעילות העיקרית המבוצעת במפעלו של המעביד </w:t>
      </w:r>
      <w:r>
        <w:rPr>
          <w:rFonts w:cs="David" w:hint="cs"/>
          <w:sz w:val="24"/>
          <w:szCs w:val="24"/>
          <w:rtl/>
        </w:rPr>
        <w:t>(</w:t>
      </w:r>
      <w:hyperlink r:id="rId12" w:history="1">
        <w:r w:rsidRPr="00B06385">
          <w:rPr>
            <w:rFonts w:cs="David" w:hint="eastAsia"/>
            <w:b/>
            <w:bCs/>
            <w:color w:val="0000FF"/>
            <w:sz w:val="24"/>
            <w:szCs w:val="24"/>
            <w:u w:val="single"/>
            <w:rtl/>
          </w:rPr>
          <w:t>דב</w:t>
        </w:r>
        <w:r w:rsidRPr="00B06385">
          <w:rPr>
            <w:rFonts w:cs="David"/>
            <w:b/>
            <w:bCs/>
            <w:color w:val="0000FF"/>
            <w:sz w:val="24"/>
            <w:szCs w:val="24"/>
            <w:u w:val="single"/>
            <w:rtl/>
          </w:rPr>
          <w:t>"</w:t>
        </w:r>
        <w:r w:rsidRPr="00B06385">
          <w:rPr>
            <w:rFonts w:cs="David" w:hint="eastAsia"/>
            <w:b/>
            <w:bCs/>
            <w:color w:val="0000FF"/>
            <w:sz w:val="24"/>
            <w:szCs w:val="24"/>
            <w:u w:val="single"/>
            <w:rtl/>
          </w:rPr>
          <w:t>ע</w:t>
        </w:r>
        <w:r w:rsidRPr="00B06385">
          <w:rPr>
            <w:rFonts w:cs="David"/>
            <w:b/>
            <w:bCs/>
            <w:color w:val="0000FF"/>
            <w:sz w:val="24"/>
            <w:szCs w:val="24"/>
            <w:u w:val="single"/>
            <w:rtl/>
          </w:rPr>
          <w:t xml:space="preserve"> </w:t>
        </w:r>
        <w:r w:rsidRPr="00B06385">
          <w:rPr>
            <w:rFonts w:cs="David" w:hint="eastAsia"/>
            <w:b/>
            <w:bCs/>
            <w:color w:val="0000FF"/>
            <w:sz w:val="24"/>
            <w:szCs w:val="24"/>
            <w:u w:val="single"/>
            <w:rtl/>
          </w:rPr>
          <w:t>נג</w:t>
        </w:r>
        <w:r w:rsidRPr="00B06385">
          <w:rPr>
            <w:rFonts w:cs="David"/>
            <w:b/>
            <w:bCs/>
            <w:color w:val="0000FF"/>
            <w:sz w:val="24"/>
            <w:szCs w:val="24"/>
            <w:u w:val="single"/>
            <w:rtl/>
          </w:rPr>
          <w:t>/125-3</w:t>
        </w:r>
      </w:hyperlink>
      <w:r>
        <w:rPr>
          <w:rFonts w:cs="David" w:hint="cs"/>
          <w:b/>
          <w:bCs/>
          <w:sz w:val="24"/>
          <w:szCs w:val="24"/>
          <w:rtl/>
        </w:rPr>
        <w:t xml:space="preserve"> אלכס שרר - רהיטי דימור בע"מ</w:t>
      </w:r>
      <w:r>
        <w:rPr>
          <w:rFonts w:cs="David" w:hint="cs"/>
          <w:sz w:val="24"/>
          <w:szCs w:val="24"/>
          <w:rtl/>
        </w:rPr>
        <w:t xml:space="preserve">, פד"ע כז 158, בעמ' 160; </w:t>
      </w:r>
      <w:hyperlink r:id="rId13" w:history="1">
        <w:r w:rsidRPr="00B06385">
          <w:rPr>
            <w:rFonts w:cs="David" w:hint="eastAsia"/>
            <w:b/>
            <w:bCs/>
            <w:color w:val="0000FF"/>
            <w:sz w:val="24"/>
            <w:szCs w:val="24"/>
            <w:u w:val="single"/>
            <w:rtl/>
          </w:rPr>
          <w:t>ע</w:t>
        </w:r>
        <w:r w:rsidRPr="00B06385">
          <w:rPr>
            <w:rFonts w:cs="David"/>
            <w:b/>
            <w:bCs/>
            <w:color w:val="0000FF"/>
            <w:sz w:val="24"/>
            <w:szCs w:val="24"/>
            <w:u w:val="single"/>
            <w:rtl/>
          </w:rPr>
          <w:t>"</w:t>
        </w:r>
        <w:r w:rsidRPr="00B06385">
          <w:rPr>
            <w:rFonts w:cs="David" w:hint="eastAsia"/>
            <w:b/>
            <w:bCs/>
            <w:color w:val="0000FF"/>
            <w:sz w:val="24"/>
            <w:szCs w:val="24"/>
            <w:u w:val="single"/>
            <w:rtl/>
          </w:rPr>
          <w:t>ע</w:t>
        </w:r>
        <w:r w:rsidRPr="00B06385">
          <w:rPr>
            <w:rFonts w:cs="David"/>
            <w:b/>
            <w:bCs/>
            <w:color w:val="0000FF"/>
            <w:sz w:val="24"/>
            <w:szCs w:val="24"/>
            <w:u w:val="single"/>
            <w:rtl/>
          </w:rPr>
          <w:t xml:space="preserve"> 18/99</w:t>
        </w:r>
      </w:hyperlink>
      <w:r>
        <w:rPr>
          <w:rFonts w:cs="David" w:hint="cs"/>
          <w:b/>
          <w:bCs/>
          <w:sz w:val="24"/>
          <w:szCs w:val="24"/>
          <w:rtl/>
        </w:rPr>
        <w:t xml:space="preserve"> יפה אפרימי – ליליה עבד לעיל</w:t>
      </w:r>
      <w:r>
        <w:rPr>
          <w:rFonts w:cs="David" w:hint="cs"/>
          <w:sz w:val="24"/>
          <w:szCs w:val="24"/>
          <w:rtl/>
        </w:rPr>
        <w:t xml:space="preserve"> (לא פורסם), ניתן ביום 9.7.00). נטל ההוכחה לאיזה ענף משתייך מפעל מסוים מונח על כתפיו של התובע (</w:t>
      </w:r>
      <w:hyperlink r:id="rId14" w:history="1">
        <w:r w:rsidRPr="00B06385">
          <w:rPr>
            <w:rFonts w:cs="David" w:hint="eastAsia"/>
            <w:b/>
            <w:bCs/>
            <w:color w:val="0000FF"/>
            <w:sz w:val="24"/>
            <w:szCs w:val="24"/>
            <w:u w:val="single"/>
            <w:rtl/>
          </w:rPr>
          <w:t>דב</w:t>
        </w:r>
        <w:r w:rsidRPr="00B06385">
          <w:rPr>
            <w:rFonts w:cs="David"/>
            <w:b/>
            <w:bCs/>
            <w:color w:val="0000FF"/>
            <w:sz w:val="24"/>
            <w:szCs w:val="24"/>
            <w:u w:val="single"/>
            <w:rtl/>
          </w:rPr>
          <w:t>"</w:t>
        </w:r>
        <w:r w:rsidRPr="00B06385">
          <w:rPr>
            <w:rFonts w:cs="David" w:hint="eastAsia"/>
            <w:b/>
            <w:bCs/>
            <w:color w:val="0000FF"/>
            <w:sz w:val="24"/>
            <w:szCs w:val="24"/>
            <w:u w:val="single"/>
            <w:rtl/>
          </w:rPr>
          <w:t>ע</w:t>
        </w:r>
        <w:r w:rsidRPr="00B06385">
          <w:rPr>
            <w:rFonts w:cs="David"/>
            <w:b/>
            <w:bCs/>
            <w:color w:val="0000FF"/>
            <w:sz w:val="24"/>
            <w:szCs w:val="24"/>
            <w:u w:val="single"/>
            <w:rtl/>
          </w:rPr>
          <w:t xml:space="preserve"> </w:t>
        </w:r>
        <w:r w:rsidRPr="00B06385">
          <w:rPr>
            <w:rFonts w:cs="David" w:hint="eastAsia"/>
            <w:b/>
            <w:bCs/>
            <w:color w:val="0000FF"/>
            <w:sz w:val="24"/>
            <w:szCs w:val="24"/>
            <w:u w:val="single"/>
            <w:rtl/>
          </w:rPr>
          <w:t>שן</w:t>
        </w:r>
        <w:r w:rsidRPr="00B06385">
          <w:rPr>
            <w:rFonts w:cs="David"/>
            <w:b/>
            <w:bCs/>
            <w:color w:val="0000FF"/>
            <w:sz w:val="24"/>
            <w:szCs w:val="24"/>
            <w:u w:val="single"/>
            <w:rtl/>
          </w:rPr>
          <w:t>/7-1</w:t>
        </w:r>
      </w:hyperlink>
      <w:r>
        <w:rPr>
          <w:rFonts w:cs="David" w:hint="cs"/>
          <w:b/>
          <w:bCs/>
          <w:sz w:val="24"/>
          <w:szCs w:val="24"/>
          <w:rtl/>
        </w:rPr>
        <w:t xml:space="preserve"> אליקים הדי – אוריינט קולור תעשיות צילום בע"מ,</w:t>
      </w:r>
      <w:r>
        <w:rPr>
          <w:rFonts w:cs="David" w:hint="cs"/>
          <w:sz w:val="24"/>
          <w:szCs w:val="24"/>
          <w:rtl/>
        </w:rPr>
        <w:t xml:space="preserve"> פד"ע כ"ג, 45).</w:t>
      </w:r>
    </w:p>
    <w:p w:rsidR="00393335" w:rsidRDefault="00B06385">
      <w:pPr>
        <w:pStyle w:val="1"/>
        <w:spacing w:line="360" w:lineRule="auto"/>
        <w:ind w:left="0"/>
        <w:jc w:val="both"/>
        <w:rPr>
          <w:rFonts w:cs="David"/>
          <w:sz w:val="26"/>
          <w:szCs w:val="26"/>
          <w:rtl/>
        </w:rPr>
      </w:pPr>
      <w:r>
        <w:rPr>
          <w:rFonts w:cs="David" w:hint="cs"/>
          <w:sz w:val="26"/>
          <w:szCs w:val="26"/>
          <w:rtl/>
        </w:rPr>
        <w:t xml:space="preserve">על פי הדין, סיווג עסקו של מעביד יעשה בין היתר בהסתמך על הסיווג האחיד של ענפי הכלכלה של הלשכה המרכזית לסטטיסטיקה </w:t>
      </w:r>
      <w:r>
        <w:rPr>
          <w:rFonts w:cs="David" w:hint="cs"/>
          <w:sz w:val="24"/>
          <w:szCs w:val="24"/>
          <w:rtl/>
        </w:rPr>
        <w:t xml:space="preserve">(להלן - הסיווג האחיד; </w:t>
      </w:r>
      <w:hyperlink r:id="rId15" w:history="1">
        <w:r w:rsidRPr="00B06385">
          <w:rPr>
            <w:rFonts w:cs="David" w:hint="eastAsia"/>
            <w:b/>
            <w:bCs/>
            <w:color w:val="0000FF"/>
            <w:sz w:val="24"/>
            <w:szCs w:val="24"/>
            <w:u w:val="single"/>
            <w:rtl/>
          </w:rPr>
          <w:t>דב</w:t>
        </w:r>
        <w:r w:rsidRPr="00B06385">
          <w:rPr>
            <w:rFonts w:cs="David"/>
            <w:b/>
            <w:bCs/>
            <w:color w:val="0000FF"/>
            <w:sz w:val="24"/>
            <w:szCs w:val="24"/>
            <w:u w:val="single"/>
            <w:rtl/>
          </w:rPr>
          <w:t>"</w:t>
        </w:r>
        <w:r w:rsidRPr="00B06385">
          <w:rPr>
            <w:rFonts w:cs="David" w:hint="eastAsia"/>
            <w:b/>
            <w:bCs/>
            <w:color w:val="0000FF"/>
            <w:sz w:val="24"/>
            <w:szCs w:val="24"/>
            <w:u w:val="single"/>
            <w:rtl/>
          </w:rPr>
          <w:t>ע</w:t>
        </w:r>
        <w:r w:rsidRPr="00B06385">
          <w:rPr>
            <w:rFonts w:cs="David"/>
            <w:b/>
            <w:bCs/>
            <w:color w:val="0000FF"/>
            <w:sz w:val="24"/>
            <w:szCs w:val="24"/>
            <w:u w:val="single"/>
            <w:rtl/>
          </w:rPr>
          <w:t xml:space="preserve"> </w:t>
        </w:r>
        <w:r w:rsidRPr="00B06385">
          <w:rPr>
            <w:rFonts w:cs="David" w:hint="eastAsia"/>
            <w:b/>
            <w:bCs/>
            <w:color w:val="0000FF"/>
            <w:sz w:val="24"/>
            <w:szCs w:val="24"/>
            <w:u w:val="single"/>
            <w:rtl/>
          </w:rPr>
          <w:t>נו</w:t>
        </w:r>
        <w:r w:rsidRPr="00B06385">
          <w:rPr>
            <w:rFonts w:cs="David"/>
            <w:b/>
            <w:bCs/>
            <w:color w:val="0000FF"/>
            <w:sz w:val="24"/>
            <w:szCs w:val="24"/>
            <w:u w:val="single"/>
            <w:rtl/>
          </w:rPr>
          <w:t>/3-272</w:t>
        </w:r>
      </w:hyperlink>
      <w:r>
        <w:rPr>
          <w:rFonts w:cs="David" w:hint="cs"/>
          <w:b/>
          <w:bCs/>
          <w:sz w:val="24"/>
          <w:szCs w:val="24"/>
          <w:rtl/>
        </w:rPr>
        <w:t xml:space="preserve"> עוף טנא תעשיות (1991) בע"מ – מואסי מוחמד עבד אלעזיז,</w:t>
      </w:r>
      <w:r>
        <w:rPr>
          <w:rFonts w:cs="David" w:hint="cs"/>
          <w:sz w:val="24"/>
          <w:szCs w:val="24"/>
          <w:rtl/>
        </w:rPr>
        <w:t xml:space="preserve"> (4.12.1996)).</w:t>
      </w:r>
      <w:r>
        <w:rPr>
          <w:rFonts w:cs="David" w:hint="cs"/>
          <w:sz w:val="26"/>
          <w:szCs w:val="26"/>
          <w:rtl/>
        </w:rPr>
        <w:t xml:space="preserve"> </w:t>
      </w:r>
    </w:p>
    <w:p w:rsidR="00393335" w:rsidRDefault="00B06385">
      <w:pPr>
        <w:pStyle w:val="1"/>
        <w:spacing w:line="360" w:lineRule="auto"/>
        <w:ind w:left="0"/>
        <w:jc w:val="both"/>
        <w:rPr>
          <w:rFonts w:cs="David"/>
          <w:sz w:val="28"/>
          <w:szCs w:val="28"/>
          <w:rtl/>
        </w:rPr>
      </w:pPr>
      <w:r>
        <w:rPr>
          <w:rFonts w:ascii="Arial" w:hAnsi="Arial" w:cs="David" w:hint="cs"/>
          <w:sz w:val="28"/>
          <w:szCs w:val="28"/>
          <w:rtl/>
        </w:rPr>
        <w:t>במסגרת זו יש לבחון מהי הפעילות העיקרית המבוצעת במפעל; מהו התוצר המוגמר היוצא ממנו; מהו עיסוקה העיקרי של יחידת המיקוח הגדולה ביותר במפעל; האם פעילות המפעל תואמת את הגדרת "בתי דפוס" בסיווג האחיד לענפי הכלכלה; כיצד מפרסם המפעל את פעילותו; והאם למחלקת הדפוס פעילות עצמאית וקיום נפרד ללא הייצור</w:t>
      </w:r>
      <w:r>
        <w:rPr>
          <w:rFonts w:cs="David" w:hint="cs"/>
          <w:sz w:val="28"/>
          <w:szCs w:val="28"/>
          <w:rtl/>
        </w:rPr>
        <w:t>.</w:t>
      </w:r>
    </w:p>
    <w:p w:rsidR="00393335" w:rsidRDefault="00393335">
      <w:pPr>
        <w:pStyle w:val="1"/>
        <w:spacing w:line="360" w:lineRule="auto"/>
        <w:ind w:left="0"/>
        <w:jc w:val="both"/>
        <w:rPr>
          <w:rFonts w:cs="David"/>
          <w:sz w:val="26"/>
          <w:szCs w:val="26"/>
          <w:rtl/>
        </w:rPr>
      </w:pPr>
    </w:p>
    <w:p w:rsidR="00393335" w:rsidRDefault="00B06385">
      <w:pPr>
        <w:pStyle w:val="1"/>
        <w:spacing w:line="360" w:lineRule="auto"/>
        <w:ind w:left="0"/>
        <w:jc w:val="both"/>
        <w:rPr>
          <w:rFonts w:cs="David"/>
          <w:sz w:val="28"/>
          <w:szCs w:val="28"/>
          <w:rtl/>
        </w:rPr>
      </w:pPr>
      <w:r>
        <w:rPr>
          <w:rFonts w:ascii="Arial" w:hAnsi="Arial" w:cs="David" w:hint="cs"/>
          <w:sz w:val="28"/>
          <w:szCs w:val="28"/>
          <w:rtl/>
        </w:rPr>
        <w:t xml:space="preserve">נקדים ונאמר, כי לאחר ששמענו את עדויות הצדדים ובחנו את חומר הראיות ומכלול נסיבות העניין בראי הפסיקה, השתכנענו כי עיסוקה העיקרי של הנתבעת </w:t>
      </w:r>
      <w:r>
        <w:rPr>
          <w:rFonts w:ascii="Arial" w:hAnsi="Arial" w:cs="David" w:hint="cs"/>
          <w:sz w:val="28"/>
          <w:szCs w:val="28"/>
          <w:u w:val="single"/>
          <w:rtl/>
        </w:rPr>
        <w:t>אינו</w:t>
      </w:r>
      <w:r>
        <w:rPr>
          <w:rFonts w:ascii="Arial" w:hAnsi="Arial" w:cs="David" w:hint="cs"/>
          <w:sz w:val="28"/>
          <w:szCs w:val="28"/>
          <w:rtl/>
        </w:rPr>
        <w:t xml:space="preserve"> בדפוס, וכי התובעת לא הרימה את נטל ההוכחה המוטל עליה.</w:t>
      </w:r>
    </w:p>
    <w:p w:rsidR="00393335" w:rsidRDefault="00393335">
      <w:pPr>
        <w:pStyle w:val="1"/>
        <w:spacing w:line="360" w:lineRule="auto"/>
        <w:ind w:left="0"/>
        <w:jc w:val="both"/>
        <w:rPr>
          <w:rFonts w:cs="David"/>
          <w:sz w:val="26"/>
          <w:szCs w:val="26"/>
          <w:rtl/>
        </w:rPr>
      </w:pPr>
    </w:p>
    <w:p w:rsidR="00393335" w:rsidRDefault="00B06385">
      <w:pPr>
        <w:pStyle w:val="1"/>
        <w:spacing w:line="360" w:lineRule="auto"/>
        <w:ind w:left="0"/>
        <w:jc w:val="both"/>
        <w:rPr>
          <w:rFonts w:ascii="Arial" w:hAnsi="Arial" w:cs="David"/>
          <w:b/>
          <w:bCs/>
          <w:sz w:val="28"/>
          <w:szCs w:val="28"/>
          <w:rtl/>
        </w:rPr>
      </w:pPr>
      <w:r>
        <w:rPr>
          <w:rFonts w:ascii="Arial" w:hAnsi="Arial" w:cs="David" w:hint="cs"/>
          <w:sz w:val="28"/>
          <w:szCs w:val="28"/>
          <w:rtl/>
        </w:rPr>
        <w:t>השתכנענו מעדותה של סימון, כי עיסוקה העיקרי של הנתבעת הוא בתחום "</w:t>
      </w:r>
      <w:r>
        <w:rPr>
          <w:rFonts w:ascii="Arial" w:hAnsi="Arial" w:cs="David" w:hint="cs"/>
          <w:b/>
          <w:bCs/>
          <w:sz w:val="28"/>
          <w:szCs w:val="28"/>
          <w:rtl/>
        </w:rPr>
        <w:t xml:space="preserve">שירותי </w:t>
      </w:r>
    </w:p>
    <w:p w:rsidR="00393335" w:rsidRDefault="00B06385">
      <w:pPr>
        <w:pStyle w:val="1"/>
        <w:spacing w:line="360" w:lineRule="auto"/>
        <w:ind w:left="0"/>
        <w:jc w:val="both"/>
        <w:rPr>
          <w:rFonts w:ascii="Arial" w:hAnsi="Arial" w:cs="David"/>
          <w:b/>
          <w:bCs/>
          <w:sz w:val="28"/>
          <w:szCs w:val="28"/>
          <w:rtl/>
        </w:rPr>
      </w:pPr>
      <w:r>
        <w:rPr>
          <w:rFonts w:ascii="Arial" w:hAnsi="Arial" w:cs="David" w:hint="cs"/>
          <w:b/>
          <w:bCs/>
          <w:sz w:val="28"/>
          <w:szCs w:val="28"/>
          <w:rtl/>
        </w:rPr>
        <w:t>הכנה להפצה לעיתונים מודפסים</w:t>
      </w:r>
      <w:r>
        <w:rPr>
          <w:rFonts w:ascii="Arial" w:hAnsi="Arial" w:cs="David" w:hint="cs"/>
          <w:sz w:val="28"/>
          <w:szCs w:val="28"/>
          <w:rtl/>
        </w:rPr>
        <w:t>...", כאשר שירותים אלה כללו הכנת דברי הדפוס המוכנים לקראת הפצתם, על דרך של מיונם לקבוצות מנויים עפ"י</w:t>
      </w:r>
      <w:r>
        <w:rPr>
          <w:rFonts w:ascii="Arial" w:hAnsi="Arial" w:cs="David"/>
          <w:sz w:val="28"/>
          <w:szCs w:val="28"/>
        </w:rPr>
        <w:t xml:space="preserve"> </w:t>
      </w:r>
      <w:r>
        <w:rPr>
          <w:rFonts w:ascii="Arial" w:hAnsi="Arial" w:cs="David" w:hint="cs"/>
          <w:sz w:val="28"/>
          <w:szCs w:val="28"/>
          <w:rtl/>
        </w:rPr>
        <w:t xml:space="preserve">אזורי חלוקה, קיפול מוצרי פרסום בתוך העיתונים, ערימת העיתונים לקבוצות ואריזתם, ובשעת הצורך גם עטיפתם בניילונים  </w:t>
      </w:r>
      <w:r>
        <w:rPr>
          <w:rFonts w:ascii="Arial" w:hAnsi="Arial" w:cs="David" w:hint="cs"/>
          <w:sz w:val="24"/>
          <w:szCs w:val="24"/>
          <w:rtl/>
        </w:rPr>
        <w:t>(סע' 2 לתצהירה, ר' גם סע' 4 לתצהיר אלעד דקר)</w:t>
      </w:r>
      <w:r>
        <w:rPr>
          <w:rFonts w:ascii="Arial" w:hAnsi="Arial" w:cs="David" w:hint="cs"/>
          <w:sz w:val="28"/>
          <w:szCs w:val="28"/>
          <w:rtl/>
        </w:rPr>
        <w:t xml:space="preserve">. עוד הוסיפה סימון כי </w:t>
      </w:r>
      <w:r>
        <w:rPr>
          <w:rFonts w:ascii="Arial" w:hAnsi="Arial" w:cs="David" w:hint="cs"/>
          <w:b/>
          <w:bCs/>
          <w:sz w:val="28"/>
          <w:szCs w:val="28"/>
          <w:rtl/>
        </w:rPr>
        <w:t xml:space="preserve">"פעילות הנתבעת אינה בשום אופן חלק מעבודת הדפוס של העיתון או עבודת הכריכייה של בית הדפוס, אלא שפיזית היא נעשית בקרבת מקום, כי שם מסתיים הליך הדפסת העיתונים" </w:t>
      </w:r>
      <w:r>
        <w:rPr>
          <w:rFonts w:ascii="Arial" w:hAnsi="Arial" w:cs="David" w:hint="cs"/>
          <w:sz w:val="24"/>
          <w:szCs w:val="24"/>
          <w:rtl/>
        </w:rPr>
        <w:t>(סע' 3 לתצהירה)</w:t>
      </w:r>
      <w:r>
        <w:rPr>
          <w:rFonts w:ascii="Arial" w:hAnsi="Arial" w:cs="David" w:hint="cs"/>
          <w:b/>
          <w:bCs/>
          <w:sz w:val="28"/>
          <w:szCs w:val="28"/>
          <w:rtl/>
        </w:rPr>
        <w:t xml:space="preserve">. </w:t>
      </w:r>
    </w:p>
    <w:p w:rsidR="00393335" w:rsidRDefault="00393335">
      <w:pPr>
        <w:pStyle w:val="1"/>
        <w:spacing w:line="360" w:lineRule="auto"/>
        <w:ind w:left="0"/>
        <w:jc w:val="both"/>
        <w:rPr>
          <w:rFonts w:ascii="Arial" w:hAnsi="Arial" w:cs="David"/>
          <w:b/>
          <w:bCs/>
          <w:sz w:val="28"/>
          <w:szCs w:val="28"/>
          <w:rtl/>
        </w:rPr>
      </w:pPr>
    </w:p>
    <w:p w:rsidR="00393335" w:rsidRDefault="00B06385">
      <w:pPr>
        <w:pStyle w:val="1"/>
        <w:spacing w:line="360" w:lineRule="auto"/>
        <w:ind w:left="0"/>
        <w:jc w:val="both"/>
        <w:rPr>
          <w:rFonts w:ascii="Arial" w:hAnsi="Arial" w:cs="David"/>
          <w:b/>
          <w:bCs/>
          <w:sz w:val="28"/>
          <w:szCs w:val="28"/>
          <w:rtl/>
        </w:rPr>
      </w:pPr>
      <w:r>
        <w:rPr>
          <w:rFonts w:ascii="Arial" w:hAnsi="Arial" w:cs="David" w:hint="cs"/>
          <w:sz w:val="28"/>
          <w:szCs w:val="28"/>
          <w:rtl/>
        </w:rPr>
        <w:t xml:space="preserve">גם בביה"ד העידה סימון כי: </w:t>
      </w:r>
      <w:r>
        <w:rPr>
          <w:rFonts w:ascii="Arial" w:hAnsi="Arial" w:cs="David" w:hint="cs"/>
          <w:b/>
          <w:bCs/>
          <w:sz w:val="28"/>
          <w:szCs w:val="28"/>
          <w:rtl/>
        </w:rPr>
        <w:t>"אף עובד שלי לא עבד בבית הדפוס וגם מכונת הקשירה לא בבית הדפוס.</w:t>
      </w:r>
    </w:p>
    <w:p w:rsidR="00393335" w:rsidRDefault="00B06385">
      <w:pPr>
        <w:pStyle w:val="1"/>
        <w:spacing w:line="360" w:lineRule="auto"/>
        <w:ind w:left="0"/>
        <w:jc w:val="both"/>
        <w:rPr>
          <w:rFonts w:ascii="Arial" w:hAnsi="Arial" w:cs="David"/>
          <w:sz w:val="24"/>
          <w:szCs w:val="24"/>
          <w:rtl/>
        </w:rPr>
      </w:pPr>
      <w:r>
        <w:rPr>
          <w:rFonts w:ascii="Arial" w:hAnsi="Arial" w:cs="David" w:hint="cs"/>
          <w:b/>
          <w:bCs/>
          <w:sz w:val="28"/>
          <w:szCs w:val="28"/>
          <w:rtl/>
        </w:rPr>
        <w:t xml:space="preserve">... האולם הוא סמוך לבית הדפוס הוא אולם שנפרד מבית הדפוס. זה אמנם קרוב פיזית אבל נפרד מבית הדפוס..." </w:t>
      </w:r>
      <w:r>
        <w:rPr>
          <w:rFonts w:ascii="Arial" w:hAnsi="Arial" w:cs="David" w:hint="cs"/>
          <w:sz w:val="24"/>
          <w:szCs w:val="24"/>
          <w:rtl/>
        </w:rPr>
        <w:t>(עמ' 13 ש' 24-26).</w:t>
      </w:r>
    </w:p>
    <w:p w:rsidR="00393335" w:rsidRDefault="00B06385">
      <w:pPr>
        <w:pStyle w:val="1"/>
        <w:spacing w:line="360" w:lineRule="auto"/>
        <w:ind w:left="0"/>
        <w:jc w:val="both"/>
        <w:rPr>
          <w:rFonts w:ascii="Arial" w:hAnsi="Arial" w:cs="David"/>
          <w:b/>
          <w:bCs/>
          <w:sz w:val="28"/>
          <w:szCs w:val="28"/>
          <w:rtl/>
        </w:rPr>
      </w:pPr>
      <w:r>
        <w:rPr>
          <w:rFonts w:ascii="Arial" w:hAnsi="Arial" w:cs="David" w:hint="cs"/>
          <w:sz w:val="28"/>
          <w:szCs w:val="28"/>
          <w:rtl/>
        </w:rPr>
        <w:lastRenderedPageBreak/>
        <w:t xml:space="preserve">אשר לטענת התובעת כי עבדה על מכונת סטקר, מכונת כריכייה ומכונת "הוספת פרסומת" העידה סימון: </w:t>
      </w:r>
      <w:r>
        <w:rPr>
          <w:rFonts w:ascii="Arial" w:hAnsi="Arial" w:cs="David" w:hint="cs"/>
          <w:b/>
          <w:bCs/>
          <w:sz w:val="28"/>
          <w:szCs w:val="28"/>
          <w:rtl/>
        </w:rPr>
        <w:t>"אני יודעת מה זאת מכונת סטקר. ולטענתך כי התובעת עבדה על מכונת סטקר, אני משיבה: אסור היה לתובעת לגעת על מכונה כלשהי מלבד מכונת קשירה שקושרת את העיתונים, לא מכונת סטקר ולא שום מכונה אחרת....".</w:t>
      </w:r>
    </w:p>
    <w:p w:rsidR="00393335" w:rsidRDefault="00B06385">
      <w:pPr>
        <w:pStyle w:val="1"/>
        <w:spacing w:line="360" w:lineRule="auto"/>
        <w:ind w:left="0"/>
        <w:jc w:val="both"/>
        <w:rPr>
          <w:rFonts w:ascii="Arial" w:hAnsi="Arial" w:cs="David"/>
          <w:sz w:val="24"/>
          <w:szCs w:val="24"/>
          <w:rtl/>
        </w:rPr>
      </w:pPr>
      <w:r>
        <w:rPr>
          <w:rFonts w:ascii="Arial" w:hAnsi="Arial" w:cs="David" w:hint="cs"/>
          <w:sz w:val="28"/>
          <w:szCs w:val="28"/>
          <w:rtl/>
        </w:rPr>
        <w:t xml:space="preserve">ובהמשך: </w:t>
      </w:r>
      <w:r>
        <w:rPr>
          <w:rFonts w:ascii="Arial" w:hAnsi="Arial" w:cs="David" w:hint="cs"/>
          <w:b/>
          <w:bCs/>
          <w:sz w:val="28"/>
          <w:szCs w:val="28"/>
          <w:rtl/>
        </w:rPr>
        <w:t xml:space="preserve">"באולם יש מכונת כריכה אבל העובדים שלי לא מורשים לגעת במכונה שלא הוכשרו עליה, גם מבחינת הביטוח" </w:t>
      </w:r>
      <w:r>
        <w:rPr>
          <w:rFonts w:ascii="Arial" w:hAnsi="Arial" w:cs="David" w:hint="cs"/>
          <w:sz w:val="24"/>
          <w:szCs w:val="24"/>
          <w:rtl/>
        </w:rPr>
        <w:t>(עמ' 13 ש' 17-20, 28-29).</w:t>
      </w:r>
    </w:p>
    <w:p w:rsidR="00393335" w:rsidRDefault="00393335">
      <w:pPr>
        <w:pStyle w:val="1"/>
        <w:spacing w:line="360" w:lineRule="auto"/>
        <w:ind w:left="0"/>
        <w:jc w:val="both"/>
        <w:rPr>
          <w:rFonts w:ascii="Arial" w:hAnsi="Arial" w:cs="David"/>
          <w:sz w:val="24"/>
          <w:szCs w:val="24"/>
          <w:rtl/>
        </w:rPr>
      </w:pPr>
    </w:p>
    <w:p w:rsidR="00393335" w:rsidRDefault="00B06385">
      <w:pPr>
        <w:pStyle w:val="1"/>
        <w:spacing w:line="360" w:lineRule="auto"/>
        <w:ind w:left="0"/>
        <w:jc w:val="both"/>
        <w:rPr>
          <w:rFonts w:ascii="Arial" w:hAnsi="Arial" w:cs="David"/>
          <w:sz w:val="28"/>
          <w:szCs w:val="28"/>
          <w:rtl/>
        </w:rPr>
      </w:pPr>
      <w:r>
        <w:rPr>
          <w:rFonts w:ascii="Arial" w:hAnsi="Arial" w:cs="David" w:hint="cs"/>
          <w:sz w:val="28"/>
          <w:szCs w:val="28"/>
          <w:rtl/>
        </w:rPr>
        <w:t xml:space="preserve">אף התובעת עצמה תומכת בעדותה בטענות המעביד בדבר מהות עיסוקו. התובעת הצהירה כי הנתבעת 1 </w:t>
      </w:r>
      <w:r>
        <w:rPr>
          <w:rFonts w:ascii="Arial" w:hAnsi="Arial" w:cs="David" w:hint="cs"/>
          <w:b/>
          <w:bCs/>
          <w:sz w:val="28"/>
          <w:szCs w:val="28"/>
          <w:rtl/>
        </w:rPr>
        <w:t xml:space="preserve">"... סיפקה שירותי עובדים להכנה ואריזה ומיון של עיתונים מודפסים יומיים" </w:t>
      </w:r>
      <w:r>
        <w:rPr>
          <w:rFonts w:ascii="Arial" w:hAnsi="Arial" w:cs="David" w:hint="cs"/>
          <w:sz w:val="24"/>
          <w:szCs w:val="24"/>
          <w:rtl/>
        </w:rPr>
        <w:t xml:space="preserve">(סע' 3.2 לתצהיר התובעת), </w:t>
      </w:r>
      <w:r>
        <w:rPr>
          <w:rFonts w:ascii="Arial" w:hAnsi="Arial" w:cs="David" w:hint="cs"/>
          <w:sz w:val="28"/>
          <w:szCs w:val="28"/>
          <w:rtl/>
        </w:rPr>
        <w:t>ואין חולק כי תפקידה היה ממיינת ואורזת עיתונים.</w:t>
      </w:r>
    </w:p>
    <w:p w:rsidR="00393335" w:rsidRDefault="00393335">
      <w:pPr>
        <w:pStyle w:val="1"/>
        <w:spacing w:line="360" w:lineRule="auto"/>
        <w:ind w:left="0"/>
        <w:jc w:val="both"/>
        <w:rPr>
          <w:rFonts w:ascii="Arial" w:hAnsi="Arial" w:cs="David"/>
          <w:sz w:val="28"/>
          <w:szCs w:val="28"/>
          <w:rtl/>
        </w:rPr>
      </w:pPr>
    </w:p>
    <w:p w:rsidR="00393335" w:rsidRDefault="00B06385">
      <w:pPr>
        <w:pStyle w:val="1"/>
        <w:spacing w:line="360" w:lineRule="auto"/>
        <w:ind w:left="0"/>
        <w:jc w:val="both"/>
        <w:rPr>
          <w:rFonts w:ascii="Arial" w:hAnsi="Arial" w:cs="David"/>
          <w:b/>
          <w:bCs/>
          <w:sz w:val="28"/>
          <w:szCs w:val="28"/>
          <w:rtl/>
        </w:rPr>
      </w:pPr>
      <w:r>
        <w:rPr>
          <w:rFonts w:ascii="Arial" w:hAnsi="Arial" w:cs="David" w:hint="cs"/>
          <w:sz w:val="28"/>
          <w:szCs w:val="28"/>
          <w:rtl/>
        </w:rPr>
        <w:t xml:space="preserve">בבית הדין תיארה התובעת את עבודתה: </w:t>
      </w:r>
      <w:r>
        <w:rPr>
          <w:rFonts w:ascii="Arial" w:hAnsi="Arial" w:cs="David" w:hint="cs"/>
          <w:b/>
          <w:bCs/>
          <w:sz w:val="28"/>
          <w:szCs w:val="28"/>
          <w:rtl/>
        </w:rPr>
        <w:t xml:space="preserve">"אני לקחתי את העיתונים ושמה אותם בצד ושמה את הפרסומת. אחר כך לוקחת אותם החוצה למכונה אוטומטית חדשה. </w:t>
      </w:r>
    </w:p>
    <w:p w:rsidR="00393335" w:rsidRDefault="00B06385">
      <w:pPr>
        <w:pStyle w:val="1"/>
        <w:spacing w:line="360" w:lineRule="auto"/>
        <w:ind w:left="0"/>
        <w:jc w:val="both"/>
        <w:rPr>
          <w:rFonts w:ascii="Arial" w:hAnsi="Arial" w:cs="David"/>
          <w:b/>
          <w:bCs/>
          <w:sz w:val="28"/>
          <w:szCs w:val="28"/>
          <w:rtl/>
        </w:rPr>
      </w:pPr>
      <w:r>
        <w:rPr>
          <w:rFonts w:ascii="Arial" w:hAnsi="Arial" w:cs="David" w:hint="cs"/>
          <w:b/>
          <w:bCs/>
          <w:sz w:val="28"/>
          <w:szCs w:val="28"/>
          <w:rtl/>
        </w:rPr>
        <w:t>אני לא עשיתי את הקשירה, רק אם היה צריך קשירה ידנית למי שהיה מנוי אז הייתי קושרת את העיתונים.</w:t>
      </w:r>
    </w:p>
    <w:p w:rsidR="00393335" w:rsidRDefault="00B06385">
      <w:pPr>
        <w:pStyle w:val="1"/>
        <w:spacing w:line="360" w:lineRule="auto"/>
        <w:ind w:left="0"/>
        <w:jc w:val="both"/>
        <w:rPr>
          <w:rFonts w:ascii="Arial" w:hAnsi="Arial" w:cs="David"/>
          <w:b/>
          <w:bCs/>
          <w:sz w:val="28"/>
          <w:szCs w:val="28"/>
          <w:rtl/>
        </w:rPr>
      </w:pPr>
      <w:r>
        <w:rPr>
          <w:rFonts w:ascii="Arial" w:hAnsi="Arial" w:cs="David" w:hint="cs"/>
          <w:b/>
          <w:bCs/>
          <w:sz w:val="28"/>
          <w:szCs w:val="28"/>
          <w:rtl/>
        </w:rPr>
        <w:t>אני זו שהכנסתי לשקית הניילון כדי לארוז את זה.</w:t>
      </w:r>
    </w:p>
    <w:p w:rsidR="00393335" w:rsidRDefault="00B06385">
      <w:pPr>
        <w:pStyle w:val="1"/>
        <w:spacing w:line="360" w:lineRule="auto"/>
        <w:ind w:left="0"/>
        <w:jc w:val="both"/>
        <w:rPr>
          <w:rFonts w:ascii="Arial" w:hAnsi="Arial" w:cs="David"/>
          <w:b/>
          <w:bCs/>
          <w:sz w:val="28"/>
          <w:szCs w:val="28"/>
          <w:rtl/>
        </w:rPr>
      </w:pPr>
      <w:r>
        <w:rPr>
          <w:rFonts w:ascii="Arial" w:hAnsi="Arial" w:cs="David" w:hint="cs"/>
          <w:b/>
          <w:bCs/>
          <w:sz w:val="28"/>
          <w:szCs w:val="28"/>
          <w:rtl/>
        </w:rPr>
        <w:t xml:space="preserve">אחר כך יש נהגים שלוקחים את העיתונים להפצה. העיתונים היו בחוץ, אנחנו רק </w:t>
      </w:r>
    </w:p>
    <w:p w:rsidR="00393335" w:rsidRDefault="00B06385">
      <w:pPr>
        <w:pStyle w:val="1"/>
        <w:spacing w:line="360" w:lineRule="auto"/>
        <w:ind w:left="0"/>
        <w:jc w:val="both"/>
        <w:rPr>
          <w:rFonts w:ascii="Arial" w:hAnsi="Arial" w:cs="David"/>
          <w:sz w:val="24"/>
          <w:szCs w:val="24"/>
          <w:rtl/>
        </w:rPr>
      </w:pPr>
      <w:r>
        <w:rPr>
          <w:rFonts w:ascii="Arial" w:hAnsi="Arial" w:cs="David" w:hint="cs"/>
          <w:b/>
          <w:bCs/>
          <w:sz w:val="28"/>
          <w:szCs w:val="28"/>
          <w:rtl/>
        </w:rPr>
        <w:t xml:space="preserve">מסדרים ויש בן אדם שלוקח ושם בחוץ" </w:t>
      </w:r>
      <w:r>
        <w:rPr>
          <w:rFonts w:ascii="Arial" w:hAnsi="Arial" w:cs="David" w:hint="cs"/>
          <w:sz w:val="24"/>
          <w:szCs w:val="24"/>
          <w:rtl/>
        </w:rPr>
        <w:t>(עמ' 6 ש' 21-26).</w:t>
      </w:r>
    </w:p>
    <w:p w:rsidR="00393335" w:rsidRDefault="00393335">
      <w:pPr>
        <w:pStyle w:val="1"/>
        <w:spacing w:line="360" w:lineRule="auto"/>
        <w:ind w:left="0"/>
        <w:jc w:val="both"/>
        <w:rPr>
          <w:rFonts w:ascii="Arial" w:hAnsi="Arial" w:cs="David"/>
          <w:sz w:val="24"/>
          <w:szCs w:val="24"/>
          <w:rtl/>
        </w:rPr>
      </w:pPr>
    </w:p>
    <w:p w:rsidR="00393335" w:rsidRDefault="00B06385">
      <w:pPr>
        <w:pStyle w:val="1"/>
        <w:spacing w:line="360" w:lineRule="auto"/>
        <w:ind w:left="0"/>
        <w:jc w:val="both"/>
        <w:rPr>
          <w:rFonts w:ascii="Arial" w:hAnsi="Arial" w:cs="David"/>
          <w:b/>
          <w:bCs/>
          <w:sz w:val="28"/>
          <w:szCs w:val="28"/>
          <w:rtl/>
        </w:rPr>
      </w:pPr>
      <w:r>
        <w:rPr>
          <w:rFonts w:ascii="Arial" w:hAnsi="Arial" w:cs="David" w:hint="cs"/>
          <w:sz w:val="28"/>
          <w:szCs w:val="28"/>
          <w:rtl/>
        </w:rPr>
        <w:t xml:space="preserve">גם העדה מטעם התובעת, הגב' אנה פיטוסי אישרה בעדותה כי התובעת: </w:t>
      </w:r>
      <w:r>
        <w:rPr>
          <w:rFonts w:ascii="Arial" w:hAnsi="Arial" w:cs="David" w:hint="cs"/>
          <w:b/>
          <w:bCs/>
          <w:sz w:val="28"/>
          <w:szCs w:val="28"/>
          <w:rtl/>
        </w:rPr>
        <w:t xml:space="preserve">"... עבדה </w:t>
      </w:r>
    </w:p>
    <w:p w:rsidR="00393335" w:rsidRDefault="00B06385">
      <w:pPr>
        <w:pStyle w:val="1"/>
        <w:spacing w:line="360" w:lineRule="auto"/>
        <w:ind w:left="0"/>
        <w:jc w:val="both"/>
        <w:rPr>
          <w:rFonts w:ascii="Arial" w:hAnsi="Arial" w:cs="David"/>
          <w:b/>
          <w:bCs/>
          <w:sz w:val="28"/>
          <w:szCs w:val="28"/>
          <w:rtl/>
        </w:rPr>
      </w:pPr>
      <w:r>
        <w:rPr>
          <w:rFonts w:ascii="Arial" w:hAnsi="Arial" w:cs="David" w:hint="cs"/>
          <w:b/>
          <w:bCs/>
          <w:sz w:val="28"/>
          <w:szCs w:val="28"/>
          <w:rtl/>
        </w:rPr>
        <w:t xml:space="preserve">בהפצה, זו היתה עבודתה." </w:t>
      </w:r>
    </w:p>
    <w:p w:rsidR="00393335" w:rsidRDefault="00B06385">
      <w:pPr>
        <w:pStyle w:val="1"/>
        <w:spacing w:line="360" w:lineRule="auto"/>
        <w:ind w:left="0"/>
        <w:jc w:val="both"/>
        <w:rPr>
          <w:rFonts w:ascii="Arial" w:hAnsi="Arial" w:cs="David"/>
          <w:sz w:val="24"/>
          <w:szCs w:val="24"/>
          <w:rtl/>
        </w:rPr>
      </w:pPr>
      <w:r>
        <w:rPr>
          <w:rFonts w:ascii="Arial" w:hAnsi="Arial" w:cs="David" w:hint="cs"/>
          <w:b/>
          <w:bCs/>
          <w:sz w:val="28"/>
          <w:szCs w:val="28"/>
          <w:rtl/>
        </w:rPr>
        <w:t xml:space="preserve">"... היא היתה מסדרת את העיתונים והיתה צוררת את העיתון ומרימה אותו" </w:t>
      </w:r>
      <w:r>
        <w:rPr>
          <w:rFonts w:ascii="Arial" w:hAnsi="Arial" w:cs="David" w:hint="cs"/>
          <w:sz w:val="24"/>
          <w:szCs w:val="24"/>
          <w:rtl/>
        </w:rPr>
        <w:t>(עמ' 5 ש' 10, 18-19).</w:t>
      </w:r>
    </w:p>
    <w:p w:rsidR="00393335" w:rsidRDefault="00393335">
      <w:pPr>
        <w:pStyle w:val="1"/>
        <w:spacing w:line="360" w:lineRule="auto"/>
        <w:ind w:left="0"/>
        <w:jc w:val="both"/>
        <w:rPr>
          <w:rFonts w:ascii="Arial" w:hAnsi="Arial" w:cs="David"/>
          <w:sz w:val="24"/>
          <w:szCs w:val="24"/>
          <w:rtl/>
        </w:rPr>
      </w:pPr>
    </w:p>
    <w:p w:rsidR="00393335" w:rsidRDefault="00B06385">
      <w:pPr>
        <w:pStyle w:val="1"/>
        <w:spacing w:line="360" w:lineRule="auto"/>
        <w:ind w:left="0"/>
        <w:jc w:val="both"/>
        <w:rPr>
          <w:rFonts w:ascii="Arial" w:hAnsi="Arial" w:cs="David"/>
          <w:sz w:val="28"/>
          <w:szCs w:val="28"/>
          <w:rtl/>
        </w:rPr>
      </w:pPr>
      <w:r>
        <w:rPr>
          <w:rFonts w:ascii="Arial" w:hAnsi="Arial" w:cs="David" w:hint="cs"/>
          <w:sz w:val="28"/>
          <w:szCs w:val="28"/>
          <w:rtl/>
        </w:rPr>
        <w:t xml:space="preserve">מטעם ההגנה העיד גם מר אלעד דקר (להלן: </w:t>
      </w:r>
      <w:r>
        <w:rPr>
          <w:rFonts w:ascii="Arial" w:hAnsi="Arial" w:cs="David" w:hint="cs"/>
          <w:b/>
          <w:bCs/>
          <w:sz w:val="28"/>
          <w:szCs w:val="28"/>
          <w:rtl/>
        </w:rPr>
        <w:t>"אלעד"</w:t>
      </w:r>
      <w:r>
        <w:rPr>
          <w:rFonts w:ascii="Arial" w:hAnsi="Arial" w:cs="David" w:hint="cs"/>
          <w:sz w:val="28"/>
          <w:szCs w:val="28"/>
          <w:rtl/>
        </w:rPr>
        <w:t xml:space="preserve">), עובד חברת בר.בי.טו.די בע"מ (להלן: </w:t>
      </w:r>
      <w:r>
        <w:rPr>
          <w:rFonts w:ascii="Arial" w:hAnsi="Arial" w:cs="David" w:hint="cs"/>
          <w:b/>
          <w:bCs/>
          <w:sz w:val="28"/>
          <w:szCs w:val="28"/>
          <w:rtl/>
        </w:rPr>
        <w:t>"חברת בר הפצה"</w:t>
      </w:r>
      <w:r>
        <w:rPr>
          <w:rFonts w:ascii="Arial" w:hAnsi="Arial" w:cs="David" w:hint="cs"/>
          <w:sz w:val="28"/>
          <w:szCs w:val="28"/>
          <w:rtl/>
        </w:rPr>
        <w:t xml:space="preserve">). </w:t>
      </w:r>
    </w:p>
    <w:p w:rsidR="00393335" w:rsidRDefault="00B06385">
      <w:pPr>
        <w:pStyle w:val="1"/>
        <w:spacing w:line="360" w:lineRule="auto"/>
        <w:ind w:left="0"/>
        <w:jc w:val="both"/>
        <w:rPr>
          <w:rFonts w:ascii="Arial" w:hAnsi="Arial" w:cs="David"/>
          <w:sz w:val="24"/>
          <w:szCs w:val="24"/>
          <w:rtl/>
        </w:rPr>
      </w:pPr>
      <w:r>
        <w:rPr>
          <w:rFonts w:ascii="Arial" w:hAnsi="Arial" w:cs="David" w:hint="cs"/>
          <w:sz w:val="28"/>
          <w:szCs w:val="28"/>
          <w:rtl/>
        </w:rPr>
        <w:t xml:space="preserve">אלעד הצהיר כי הנתבעת 1 עסקה בהכנת העיתונים המודפסים לבר הפצה, לקראת הפצתם </w:t>
      </w:r>
      <w:r>
        <w:rPr>
          <w:rFonts w:ascii="Arial" w:hAnsi="Arial" w:cs="David" w:hint="cs"/>
          <w:sz w:val="24"/>
          <w:szCs w:val="24"/>
          <w:rtl/>
        </w:rPr>
        <w:t xml:space="preserve">(סע' 4 לתצהירו). </w:t>
      </w:r>
      <w:r>
        <w:rPr>
          <w:rFonts w:ascii="Arial" w:hAnsi="Arial" w:cs="David" w:hint="cs"/>
          <w:sz w:val="28"/>
          <w:szCs w:val="28"/>
          <w:rtl/>
        </w:rPr>
        <w:t xml:space="preserve">בבית הדין העיד אלעד כי הגם שהתובעת עבדה על מכונת הסטקר, הרי שמדובר במעין מסוע שמנייד את העיתונים המוכנים אל עבר עגלות ומשטחים לצורך הכנתם להפצה </w:t>
      </w:r>
      <w:r>
        <w:rPr>
          <w:rFonts w:ascii="Arial" w:hAnsi="Arial" w:cs="David" w:hint="cs"/>
          <w:sz w:val="24"/>
          <w:szCs w:val="24"/>
          <w:rtl/>
        </w:rPr>
        <w:t xml:space="preserve">(עמ' 15 ש' 14-25). </w:t>
      </w:r>
      <w:r>
        <w:rPr>
          <w:rFonts w:ascii="Arial" w:hAnsi="Arial" w:cs="David" w:hint="cs"/>
          <w:sz w:val="28"/>
          <w:szCs w:val="28"/>
          <w:rtl/>
        </w:rPr>
        <w:t xml:space="preserve">בנוסף, במסגרת תפקידה, עסקה התובעת בקשירת ערימות העיתונים לקראת הפצתם </w:t>
      </w:r>
      <w:r>
        <w:rPr>
          <w:rFonts w:ascii="Arial" w:hAnsi="Arial" w:cs="David" w:hint="cs"/>
          <w:sz w:val="24"/>
          <w:szCs w:val="24"/>
          <w:rtl/>
        </w:rPr>
        <w:t>(עמ' 15 ש' 31-32).</w:t>
      </w:r>
    </w:p>
    <w:p w:rsidR="00393335" w:rsidRDefault="00393335">
      <w:pPr>
        <w:pStyle w:val="1"/>
        <w:spacing w:line="360" w:lineRule="auto"/>
        <w:ind w:left="0"/>
        <w:jc w:val="both"/>
        <w:rPr>
          <w:rFonts w:ascii="Arial" w:hAnsi="Arial" w:cs="David"/>
          <w:sz w:val="24"/>
          <w:szCs w:val="24"/>
          <w:rtl/>
        </w:rPr>
      </w:pPr>
    </w:p>
    <w:p w:rsidR="00393335" w:rsidRDefault="00B06385">
      <w:pPr>
        <w:pStyle w:val="1"/>
        <w:spacing w:line="360" w:lineRule="auto"/>
        <w:ind w:left="0"/>
        <w:jc w:val="both"/>
        <w:rPr>
          <w:rFonts w:ascii="Arial" w:hAnsi="Arial" w:cs="David"/>
          <w:sz w:val="28"/>
          <w:szCs w:val="28"/>
          <w:rtl/>
        </w:rPr>
      </w:pPr>
      <w:r>
        <w:rPr>
          <w:rFonts w:cs="David" w:hint="cs"/>
          <w:sz w:val="28"/>
          <w:szCs w:val="28"/>
          <w:rtl/>
        </w:rPr>
        <w:t xml:space="preserve">יתר על כן, </w:t>
      </w:r>
      <w:r>
        <w:rPr>
          <w:rFonts w:ascii="Arial" w:hAnsi="Arial" w:cs="David" w:hint="cs"/>
          <w:sz w:val="28"/>
          <w:szCs w:val="28"/>
          <w:rtl/>
        </w:rPr>
        <w:t>במסגרת הסיווג הענפי מוגדר ענף הדפוס ב</w:t>
      </w:r>
      <w:r>
        <w:rPr>
          <w:rFonts w:ascii="Arial" w:hAnsi="Arial" w:cs="David" w:hint="cs"/>
          <w:b/>
          <w:bCs/>
          <w:sz w:val="28"/>
          <w:szCs w:val="28"/>
          <w:rtl/>
        </w:rPr>
        <w:t xml:space="preserve">סדר </w:t>
      </w:r>
      <w:r>
        <w:rPr>
          <w:rFonts w:ascii="Arial" w:hAnsi="Arial" w:cs="David"/>
          <w:b/>
          <w:bCs/>
          <w:sz w:val="28"/>
          <w:szCs w:val="28"/>
        </w:rPr>
        <w:t>B</w:t>
      </w:r>
      <w:r>
        <w:rPr>
          <w:rFonts w:ascii="Arial" w:hAnsi="Arial" w:cs="David" w:hint="cs"/>
          <w:b/>
          <w:bCs/>
          <w:sz w:val="28"/>
          <w:szCs w:val="28"/>
          <w:rtl/>
        </w:rPr>
        <w:t xml:space="preserve"> – תעשייה, ענף ראשי 22- הוצאה לאור ודפוס</w:t>
      </w:r>
      <w:r>
        <w:rPr>
          <w:rFonts w:ascii="Arial" w:hAnsi="Arial" w:cs="David" w:hint="cs"/>
          <w:sz w:val="28"/>
          <w:szCs w:val="28"/>
          <w:rtl/>
        </w:rPr>
        <w:t xml:space="preserve">, ובו ענף משנה 2220 </w:t>
      </w:r>
      <w:r>
        <w:rPr>
          <w:rFonts w:ascii="Arial" w:hAnsi="Arial" w:cs="David" w:hint="cs"/>
          <w:b/>
          <w:bCs/>
          <w:sz w:val="28"/>
          <w:szCs w:val="28"/>
          <w:rtl/>
        </w:rPr>
        <w:t>בתי דפוס</w:t>
      </w:r>
      <w:r>
        <w:rPr>
          <w:rFonts w:ascii="Arial" w:hAnsi="Arial" w:cs="David" w:hint="cs"/>
          <w:sz w:val="28"/>
          <w:szCs w:val="28"/>
          <w:rtl/>
        </w:rPr>
        <w:t xml:space="preserve"> הכולל: הדפסת עיתונים, ספרים, מפות, אטלסים וחומר אחר עבור הוצאות לאור או גורמים אחרים; שכפול, </w:t>
      </w:r>
    </w:p>
    <w:p w:rsidR="00393335" w:rsidRDefault="00B06385">
      <w:pPr>
        <w:pStyle w:val="1"/>
        <w:spacing w:line="360" w:lineRule="auto"/>
        <w:ind w:left="0"/>
        <w:jc w:val="both"/>
        <w:rPr>
          <w:rFonts w:cs="David"/>
          <w:sz w:val="28"/>
          <w:szCs w:val="28"/>
          <w:rtl/>
        </w:rPr>
      </w:pPr>
      <w:r>
        <w:rPr>
          <w:rFonts w:ascii="Arial" w:hAnsi="Arial" w:cs="David" w:hint="cs"/>
          <w:sz w:val="28"/>
          <w:szCs w:val="28"/>
          <w:rtl/>
        </w:rPr>
        <w:t xml:space="preserve">הדפסה במחשב מבוקר, הדפסות משי, ייצור לוחות אופסט; הדפסה על מוצרים מחומרים שונים (כולל הדפסה על חולצות), וענף משנה 2221 פעולות שירות הקשורות לדפוס הכולל: ייצור גלופות-לצינקוגרפיות, לליטוגרפיות; הטבעת חומר אחר לשימוש בדפוס. </w:t>
      </w:r>
    </w:p>
    <w:p w:rsidR="00393335" w:rsidRDefault="00B06385">
      <w:pPr>
        <w:pStyle w:val="1"/>
        <w:spacing w:line="360" w:lineRule="auto"/>
        <w:ind w:left="0"/>
        <w:jc w:val="both"/>
        <w:rPr>
          <w:rFonts w:cs="David"/>
          <w:sz w:val="28"/>
          <w:szCs w:val="28"/>
          <w:rtl/>
        </w:rPr>
      </w:pPr>
      <w:r>
        <w:rPr>
          <w:rFonts w:ascii="Arial" w:hAnsi="Arial" w:cs="David" w:hint="cs"/>
          <w:sz w:val="28"/>
          <w:szCs w:val="28"/>
          <w:rtl/>
        </w:rPr>
        <w:t>בחינת פעילותה של הנתבעת כאמור לעיל, מעלה</w:t>
      </w:r>
      <w:r>
        <w:rPr>
          <w:rFonts w:cs="David" w:hint="cs"/>
          <w:sz w:val="28"/>
          <w:szCs w:val="28"/>
          <w:rtl/>
        </w:rPr>
        <w:t xml:space="preserve"> כי </w:t>
      </w:r>
      <w:r>
        <w:rPr>
          <w:rFonts w:cs="David" w:hint="cs"/>
          <w:sz w:val="28"/>
          <w:szCs w:val="28"/>
          <w:u w:val="single"/>
          <w:rtl/>
        </w:rPr>
        <w:t>עיקר</w:t>
      </w:r>
      <w:r>
        <w:rPr>
          <w:rFonts w:cs="David" w:hint="cs"/>
          <w:sz w:val="28"/>
          <w:szCs w:val="28"/>
          <w:rtl/>
        </w:rPr>
        <w:t xml:space="preserve"> עיסוקה בשירותי הפצת העיתונים המוכנים ולא פעלה בתחומים הקשורים לעיסוק בענף הדפוס.</w:t>
      </w:r>
    </w:p>
    <w:p w:rsidR="00393335" w:rsidRDefault="00B06385">
      <w:pPr>
        <w:spacing w:line="360" w:lineRule="auto"/>
        <w:jc w:val="both"/>
        <w:rPr>
          <w:b/>
          <w:bCs/>
          <w:sz w:val="28"/>
          <w:szCs w:val="28"/>
          <w:u w:val="single"/>
          <w:rtl/>
        </w:rPr>
      </w:pPr>
      <w:r>
        <w:rPr>
          <w:rFonts w:ascii="Calibri" w:hAnsi="Calibri" w:hint="cs"/>
          <w:sz w:val="28"/>
          <w:szCs w:val="28"/>
          <w:rtl/>
        </w:rPr>
        <w:t xml:space="preserve">לאור כל האמור אנו קובעים כי, </w:t>
      </w:r>
      <w:r>
        <w:rPr>
          <w:rFonts w:ascii="Calibri" w:hAnsi="Calibri" w:hint="cs"/>
          <w:b/>
          <w:bCs/>
          <w:sz w:val="28"/>
          <w:szCs w:val="28"/>
          <w:rtl/>
        </w:rPr>
        <w:t>אין תחולה לצו ההרחבה בענף הדפוס על יחסי העבודה בין הצדדים.</w:t>
      </w:r>
    </w:p>
    <w:p w:rsidR="00393335" w:rsidRDefault="00393335">
      <w:pPr>
        <w:spacing w:line="360" w:lineRule="auto"/>
        <w:jc w:val="both"/>
        <w:rPr>
          <w:sz w:val="28"/>
          <w:szCs w:val="28"/>
          <w:rtl/>
        </w:rPr>
      </w:pPr>
    </w:p>
    <w:p w:rsidR="00393335" w:rsidRDefault="00B06385">
      <w:pPr>
        <w:spacing w:line="360" w:lineRule="auto"/>
        <w:jc w:val="both"/>
        <w:rPr>
          <w:sz w:val="28"/>
          <w:szCs w:val="28"/>
        </w:rPr>
      </w:pPr>
      <w:r>
        <w:rPr>
          <w:rFonts w:hint="cs"/>
          <w:sz w:val="28"/>
          <w:szCs w:val="28"/>
          <w:rtl/>
        </w:rPr>
        <w:t xml:space="preserve">לאור קביעתנו זו, דין תביעותיה של התובעת לרכיבים שמקורם בצו ההרחבה בענף הדפוס, להידחות. המדובר בתביעות ל: "השתתפות בארוחה בשעות נוספות" "מענקי חג", "בגדי עבודה", "ביטוח דמי מחלה", "תשלום בעד ימי מחלה", "דמי מחלה לאחר הפסקת עבודה", "תוספת וותק", "הפרשות לקרן פנסיה", "קרן השתלמות" ו"תוספת לילה". </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אשר להפרשות לקרן פנסיה- מתלושי השכר עולה כי לתובעת הופרשו כספים לקרן פנסיה בגין התקופה שהחלה מחודש 1/08, כמתחייב מהוראות צו ההרחבה הכללי בדבר פנסיית יסוד.</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b/>
          <w:bCs/>
          <w:sz w:val="28"/>
          <w:szCs w:val="28"/>
          <w:u w:val="single"/>
          <w:rtl/>
        </w:rPr>
        <w:t>"גמול עבודה בשעות נוספות"</w:t>
      </w:r>
      <w:r>
        <w:rPr>
          <w:rFonts w:hint="cs"/>
          <w:sz w:val="28"/>
          <w:szCs w:val="28"/>
          <w:rtl/>
        </w:rPr>
        <w:t>:</w:t>
      </w:r>
    </w:p>
    <w:p w:rsidR="00393335" w:rsidRDefault="00393335">
      <w:pPr>
        <w:spacing w:line="360" w:lineRule="auto"/>
        <w:jc w:val="both"/>
        <w:rPr>
          <w:sz w:val="28"/>
          <w:szCs w:val="28"/>
          <w:u w:val="single"/>
          <w:rtl/>
        </w:rPr>
      </w:pPr>
    </w:p>
    <w:p w:rsidR="00393335" w:rsidRDefault="00B06385">
      <w:pPr>
        <w:spacing w:line="360" w:lineRule="auto"/>
        <w:jc w:val="both"/>
        <w:rPr>
          <w:rtl/>
        </w:rPr>
      </w:pPr>
      <w:r>
        <w:rPr>
          <w:rFonts w:hint="cs"/>
          <w:sz w:val="28"/>
          <w:szCs w:val="28"/>
          <w:rtl/>
        </w:rPr>
        <w:t xml:space="preserve">התובעת טוענת כי במשך כל תקופת עבודתה שולם לה שכר מינימום בלבד, כאשר בפועל עבדה שעות נוספות רבות, משמרות לילה ובימי מנוחה וחג. לדבריה, החל מחודש 9/06 ועד ליציאתה לחופשת מחלה בחודש 6/08 עבדה בקביעות בכל מוצאי שבת מהשעה 19:00 עד לשעה 03:00 או 04:00 לפנות בוקר. בנוסף, בימים ב, ד' וה' עבדה ברציפות החל מהשעה 10:00 ולכל הפחות עד השעה 03:00 לפנות בוקר למחרת </w:t>
      </w:r>
      <w:r>
        <w:rPr>
          <w:rFonts w:hint="cs"/>
          <w:rtl/>
        </w:rPr>
        <w:t>(סע' 6.1 לתצהירה, עמ' 6 ש' 16-17, נספח ט לתצהיר התובעת).</w:t>
      </w:r>
    </w:p>
    <w:p w:rsidR="00393335" w:rsidRDefault="00B06385">
      <w:pPr>
        <w:spacing w:line="360" w:lineRule="auto"/>
        <w:jc w:val="both"/>
        <w:rPr>
          <w:rtl/>
        </w:rPr>
      </w:pPr>
      <w:r>
        <w:rPr>
          <w:rFonts w:hint="cs"/>
          <w:sz w:val="28"/>
          <w:szCs w:val="28"/>
          <w:rtl/>
        </w:rPr>
        <w:lastRenderedPageBreak/>
        <w:t xml:space="preserve">יש לציין כי הטענה לעבודה בימי מנוחה וחג נזנחה, ואף התובעת עצמה לא ידעה להסביר מדוע החלק הארי מטבלת השעות שערכה מתייחס לעבודה בימי מנוחה </w:t>
      </w:r>
      <w:r>
        <w:rPr>
          <w:rFonts w:hint="cs"/>
          <w:rtl/>
        </w:rPr>
        <w:t xml:space="preserve">(עמ' 6 ש' 29-31, עמ' 7 ש' 15-16). </w:t>
      </w:r>
    </w:p>
    <w:p w:rsidR="00393335" w:rsidRDefault="00B06385">
      <w:pPr>
        <w:spacing w:line="360" w:lineRule="auto"/>
        <w:jc w:val="both"/>
        <w:rPr>
          <w:rtl/>
        </w:rPr>
      </w:pPr>
      <w:r>
        <w:rPr>
          <w:rFonts w:hint="cs"/>
          <w:sz w:val="28"/>
          <w:szCs w:val="28"/>
          <w:rtl/>
        </w:rPr>
        <w:t>ממילא וגם עפ"י עדותם של</w:t>
      </w:r>
      <w:r>
        <w:rPr>
          <w:rFonts w:hint="cs"/>
          <w:rtl/>
        </w:rPr>
        <w:t xml:space="preserve"> </w:t>
      </w:r>
      <w:r>
        <w:rPr>
          <w:rFonts w:hint="cs"/>
          <w:sz w:val="28"/>
          <w:szCs w:val="28"/>
          <w:rtl/>
        </w:rPr>
        <w:t xml:space="preserve">סימון ואלעד, הנתבעת מעולם לא פעלה בימי מנוחה וחג </w:t>
      </w:r>
      <w:r>
        <w:rPr>
          <w:rFonts w:hint="cs"/>
          <w:rtl/>
        </w:rPr>
        <w:t>(סע' 13 לתצהיר סימוןסע' 7 לתצהיר אלעד).</w:t>
      </w:r>
    </w:p>
    <w:p w:rsidR="00393335" w:rsidRDefault="00393335">
      <w:pPr>
        <w:spacing w:line="360" w:lineRule="auto"/>
        <w:jc w:val="both"/>
        <w:rPr>
          <w:rtl/>
        </w:rPr>
      </w:pPr>
    </w:p>
    <w:p w:rsidR="00393335" w:rsidRDefault="00B06385">
      <w:pPr>
        <w:spacing w:line="360" w:lineRule="auto"/>
        <w:jc w:val="both"/>
        <w:rPr>
          <w:sz w:val="28"/>
          <w:szCs w:val="28"/>
          <w:rtl/>
        </w:rPr>
      </w:pPr>
      <w:r>
        <w:rPr>
          <w:rFonts w:hint="cs"/>
          <w:sz w:val="28"/>
          <w:szCs w:val="28"/>
          <w:rtl/>
        </w:rPr>
        <w:t xml:space="preserve">אין מקום לסמוך על רישומי התובעת, שכן אין ראיה אובייקטיבית לכך שנערכו בזמן אמת. גם הטבלה שערכה התובעת, אינה תואמת את גרסתה כי עבדה במתכונת קבועה של שעות נוספות, מה גם שהתובעת הודתה כי </w:t>
      </w:r>
      <w:r>
        <w:rPr>
          <w:rFonts w:hint="cs"/>
          <w:b/>
          <w:bCs/>
          <w:sz w:val="28"/>
          <w:szCs w:val="28"/>
          <w:rtl/>
        </w:rPr>
        <w:t>הרישומים כוללים גם את שעות העבודה של בעלה</w:t>
      </w:r>
      <w:r>
        <w:rPr>
          <w:rFonts w:hint="cs"/>
          <w:sz w:val="28"/>
          <w:szCs w:val="28"/>
          <w:rtl/>
        </w:rPr>
        <w:t xml:space="preserve"> </w:t>
      </w:r>
      <w:r>
        <w:rPr>
          <w:rFonts w:hint="cs"/>
          <w:rtl/>
        </w:rPr>
        <w:t xml:space="preserve">(ר' עמ' 10 ש' 7-8) </w:t>
      </w:r>
      <w:r>
        <w:rPr>
          <w:rFonts w:hint="cs"/>
          <w:sz w:val="28"/>
          <w:szCs w:val="28"/>
          <w:rtl/>
        </w:rPr>
        <w:t xml:space="preserve">יתרה מזאת, התובעת אף אישרה כי כלל אינה יודעת מהם הסכומים אותם תובעת במסגרת הטבלה </w:t>
      </w:r>
      <w:r>
        <w:rPr>
          <w:rFonts w:hint="cs"/>
          <w:rtl/>
        </w:rPr>
        <w:t xml:space="preserve">(עמ' 6 ש' 29). </w:t>
      </w:r>
    </w:p>
    <w:p w:rsidR="00393335" w:rsidRDefault="00B06385">
      <w:pPr>
        <w:spacing w:line="360" w:lineRule="auto"/>
        <w:jc w:val="both"/>
        <w:rPr>
          <w:sz w:val="28"/>
          <w:szCs w:val="28"/>
          <w:rtl/>
        </w:rPr>
      </w:pPr>
      <w:r>
        <w:rPr>
          <w:rFonts w:hint="cs"/>
          <w:sz w:val="28"/>
          <w:szCs w:val="28"/>
          <w:rtl/>
        </w:rPr>
        <w:t xml:space="preserve">זאת ועוד, עיון מדגמי מעלה כי כלל אין קורלציה בין הרישומים הידניים שערכה התובעת לבין הרישומים המופיעים בטבלה. </w:t>
      </w:r>
    </w:p>
    <w:p w:rsidR="00393335" w:rsidRDefault="00393335">
      <w:pPr>
        <w:spacing w:line="360" w:lineRule="auto"/>
        <w:jc w:val="both"/>
        <w:rPr>
          <w:rtl/>
        </w:rPr>
      </w:pPr>
    </w:p>
    <w:p w:rsidR="00393335" w:rsidRDefault="00B06385">
      <w:pPr>
        <w:spacing w:line="360" w:lineRule="auto"/>
        <w:jc w:val="both"/>
        <w:rPr>
          <w:b/>
          <w:bCs/>
          <w:sz w:val="28"/>
          <w:szCs w:val="28"/>
          <w:rtl/>
        </w:rPr>
      </w:pPr>
      <w:r>
        <w:rPr>
          <w:rFonts w:hint="cs"/>
          <w:sz w:val="28"/>
          <w:szCs w:val="28"/>
          <w:rtl/>
        </w:rPr>
        <w:t xml:space="preserve">אמנם הגב' אנה פיטוסי העידה כי התובעת עבדה שעות רבות, לטענתה, הרבה מעבר לשעות הרגילות ולעיתים גם עד השעות הקטנות של הלילה, אך בביה"ד הודתה: </w:t>
      </w:r>
    </w:p>
    <w:p w:rsidR="00393335" w:rsidRDefault="00B06385">
      <w:pPr>
        <w:spacing w:line="360" w:lineRule="auto"/>
        <w:jc w:val="both"/>
        <w:rPr>
          <w:sz w:val="28"/>
          <w:szCs w:val="28"/>
          <w:rtl/>
        </w:rPr>
      </w:pPr>
      <w:r>
        <w:rPr>
          <w:rFonts w:hint="cs"/>
          <w:b/>
          <w:bCs/>
          <w:sz w:val="28"/>
          <w:szCs w:val="28"/>
          <w:rtl/>
        </w:rPr>
        <w:t>"... וכשאמרתי שראיתי אותה זה רק במקרים חריגים"</w:t>
      </w:r>
      <w:r>
        <w:rPr>
          <w:rFonts w:hint="cs"/>
          <w:sz w:val="28"/>
          <w:szCs w:val="28"/>
          <w:rtl/>
        </w:rPr>
        <w:t xml:space="preserve"> </w:t>
      </w:r>
      <w:r>
        <w:rPr>
          <w:rFonts w:hint="cs"/>
          <w:rtl/>
        </w:rPr>
        <w:t>(סע' 4,6 לתצהירה, עמ' 5 ש' 4-5)</w:t>
      </w:r>
      <w:r>
        <w:rPr>
          <w:rFonts w:hint="cs"/>
          <w:sz w:val="28"/>
          <w:szCs w:val="28"/>
          <w:rtl/>
        </w:rPr>
        <w:t xml:space="preserve">. </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עם זאת, אין להתעלם מהעובדה שהמעביד לא הציג רישומי נוכחות, חובה שהיתה מוטלת עליו, עפ"י הפסיקה, גם טרם תיקון 24 ל</w:t>
      </w:r>
      <w:hyperlink r:id="rId16" w:history="1">
        <w:r w:rsidRPr="00B06385">
          <w:rPr>
            <w:color w:val="0000FF"/>
            <w:sz w:val="28"/>
            <w:szCs w:val="28"/>
            <w:u w:val="single"/>
            <w:rtl/>
          </w:rPr>
          <w:t>חוק הגנת השכר</w:t>
        </w:r>
      </w:hyperlink>
      <w:r>
        <w:rPr>
          <w:rFonts w:hint="cs"/>
          <w:sz w:val="28"/>
          <w:szCs w:val="28"/>
          <w:rtl/>
        </w:rPr>
        <w:t xml:space="preserve">. המעביד אף מודה שהתובעת עבדה בפועל שעות נוספות, אך לטענתו, הללו לא פורטו כרכיב נפרד בתלוש השכר, אלא כחלק משכר היסוד </w:t>
      </w:r>
      <w:r>
        <w:rPr>
          <w:rFonts w:hint="cs"/>
          <w:rtl/>
        </w:rPr>
        <w:t xml:space="preserve">(סע' 82 לסיכומי המעביד). </w:t>
      </w:r>
      <w:r>
        <w:rPr>
          <w:rFonts w:hint="cs"/>
          <w:sz w:val="28"/>
          <w:szCs w:val="28"/>
          <w:rtl/>
        </w:rPr>
        <w:t xml:space="preserve">כידוע, קיים איסור בדבר תשלום שכר כולל", ועל המעביד מוטלת החובה לפרט בתלוש השכר את הרכיבים המשולמים, ולרבות תשלום בעד "שעות נוספות". העובדה שהמעביד לא עשה כן במקרה דנן, פועלת לחובתו. </w:t>
      </w:r>
    </w:p>
    <w:p w:rsidR="00393335" w:rsidRDefault="00393335">
      <w:pPr>
        <w:spacing w:line="360" w:lineRule="auto"/>
        <w:jc w:val="both"/>
        <w:rPr>
          <w:rtl/>
        </w:rPr>
      </w:pPr>
    </w:p>
    <w:p w:rsidR="00393335" w:rsidRDefault="00393335">
      <w:pPr>
        <w:spacing w:line="360" w:lineRule="auto"/>
        <w:jc w:val="both"/>
        <w:rPr>
          <w:rtl/>
        </w:rPr>
      </w:pPr>
    </w:p>
    <w:p w:rsidR="00393335" w:rsidRDefault="00393335">
      <w:pPr>
        <w:spacing w:line="360" w:lineRule="auto"/>
        <w:jc w:val="both"/>
        <w:rPr>
          <w:rtl/>
        </w:rPr>
      </w:pP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 xml:space="preserve">על כן, בהפעלת שיקול הדעת ולאחר עריכת האיזונים, אנו מוצאים לפסוק לזכות התובעת סכום חד פעמי כפיצוי בעד עבודתה ב"שעות נוספות" ובסך כולל של        8,500  ₪. </w:t>
      </w:r>
    </w:p>
    <w:p w:rsidR="00393335" w:rsidRDefault="00393335">
      <w:pPr>
        <w:spacing w:line="360" w:lineRule="auto"/>
        <w:jc w:val="both"/>
        <w:rPr>
          <w:sz w:val="28"/>
          <w:szCs w:val="28"/>
          <w:rtl/>
        </w:rPr>
      </w:pPr>
    </w:p>
    <w:p w:rsidR="00393335" w:rsidRDefault="00B06385">
      <w:pPr>
        <w:spacing w:line="360" w:lineRule="auto"/>
        <w:jc w:val="both"/>
        <w:rPr>
          <w:sz w:val="28"/>
          <w:szCs w:val="28"/>
        </w:rPr>
      </w:pPr>
      <w:r>
        <w:rPr>
          <w:rFonts w:hint="cs"/>
          <w:b/>
          <w:bCs/>
          <w:sz w:val="28"/>
          <w:szCs w:val="28"/>
          <w:u w:val="single"/>
          <w:rtl/>
        </w:rPr>
        <w:lastRenderedPageBreak/>
        <w:t>"פיצויי הלנת פיצויי פיטורים"</w:t>
      </w:r>
      <w:r>
        <w:rPr>
          <w:rFonts w:hint="cs"/>
          <w:sz w:val="28"/>
          <w:szCs w:val="28"/>
          <w:rtl/>
        </w:rPr>
        <w:t>:</w:t>
      </w:r>
    </w:p>
    <w:p w:rsidR="00393335" w:rsidRDefault="00393335">
      <w:pPr>
        <w:spacing w:line="360" w:lineRule="auto"/>
        <w:jc w:val="both"/>
        <w:rPr>
          <w:sz w:val="28"/>
          <w:szCs w:val="28"/>
          <w:u w:val="single"/>
          <w:rtl/>
        </w:rPr>
      </w:pPr>
    </w:p>
    <w:p w:rsidR="00393335" w:rsidRDefault="00B06385">
      <w:pPr>
        <w:spacing w:line="360" w:lineRule="auto"/>
        <w:jc w:val="both"/>
        <w:rPr>
          <w:sz w:val="28"/>
          <w:szCs w:val="28"/>
          <w:rtl/>
        </w:rPr>
      </w:pPr>
      <w:r>
        <w:rPr>
          <w:rFonts w:hint="cs"/>
          <w:sz w:val="28"/>
          <w:szCs w:val="28"/>
          <w:rtl/>
        </w:rPr>
        <w:t xml:space="preserve">לטענת התובעת, היא זכאית לפיצויי הלנת פיצויי פיטורים מאחר </w:t>
      </w:r>
      <w:r>
        <w:rPr>
          <w:rFonts w:hint="cs"/>
          <w:b/>
          <w:bCs/>
          <w:sz w:val="28"/>
          <w:szCs w:val="28"/>
          <w:rtl/>
        </w:rPr>
        <w:t xml:space="preserve">והתפטרה ביום 22.10.08, </w:t>
      </w:r>
      <w:r>
        <w:rPr>
          <w:rFonts w:hint="cs"/>
          <w:sz w:val="28"/>
          <w:szCs w:val="28"/>
          <w:rtl/>
        </w:rPr>
        <w:t xml:space="preserve">בעוד שפיצויי הפיטורים שולמו לה רק ביום 1.4.09. </w:t>
      </w:r>
    </w:p>
    <w:p w:rsidR="00393335" w:rsidRDefault="00B06385">
      <w:pPr>
        <w:spacing w:line="360" w:lineRule="auto"/>
        <w:jc w:val="both"/>
        <w:rPr>
          <w:sz w:val="28"/>
          <w:szCs w:val="28"/>
          <w:rtl/>
        </w:rPr>
      </w:pPr>
      <w:r>
        <w:rPr>
          <w:rFonts w:hint="cs"/>
          <w:sz w:val="28"/>
          <w:szCs w:val="28"/>
          <w:rtl/>
        </w:rPr>
        <w:t xml:space="preserve">לטענת המעביד, התובעת הודיעה על התפטרותה בפועל ביום 10.11.08, </w:t>
      </w:r>
      <w:r>
        <w:rPr>
          <w:rFonts w:hint="cs"/>
          <w:b/>
          <w:bCs/>
          <w:sz w:val="28"/>
          <w:szCs w:val="28"/>
          <w:rtl/>
        </w:rPr>
        <w:t>וסכום פיצויי הפיטורים שולם לה בפועל ביום 1.4.09</w:t>
      </w:r>
      <w:r>
        <w:rPr>
          <w:rFonts w:hint="cs"/>
          <w:sz w:val="28"/>
          <w:szCs w:val="28"/>
          <w:rtl/>
        </w:rPr>
        <w:t xml:space="preserve">. המעביד מעלה טענת התיישנות בקשר לרכיב זה ולחלופין טוען כי פעל לשחרור הכספים בהקדם האפשרי. </w:t>
      </w:r>
    </w:p>
    <w:p w:rsidR="00393335" w:rsidRDefault="00393335">
      <w:pPr>
        <w:spacing w:line="360" w:lineRule="auto"/>
        <w:jc w:val="both"/>
        <w:rPr>
          <w:sz w:val="28"/>
          <w:szCs w:val="28"/>
          <w:rtl/>
        </w:rPr>
      </w:pPr>
    </w:p>
    <w:p w:rsidR="00393335" w:rsidRDefault="00C10902">
      <w:pPr>
        <w:spacing w:line="360" w:lineRule="auto"/>
        <w:jc w:val="both"/>
        <w:rPr>
          <w:sz w:val="28"/>
          <w:szCs w:val="28"/>
          <w:rtl/>
        </w:rPr>
      </w:pPr>
      <w:hyperlink r:id="rId17" w:history="1">
        <w:r w:rsidRPr="00C10902">
          <w:rPr>
            <w:color w:val="0000FF"/>
            <w:sz w:val="28"/>
            <w:szCs w:val="28"/>
            <w:u w:val="single"/>
            <w:rtl/>
          </w:rPr>
          <w:t>סעיף 17א.</w:t>
        </w:r>
      </w:hyperlink>
      <w:r w:rsidR="00B06385">
        <w:rPr>
          <w:rFonts w:hint="cs"/>
          <w:sz w:val="28"/>
          <w:szCs w:val="28"/>
          <w:rtl/>
        </w:rPr>
        <w:t xml:space="preserve"> ל</w:t>
      </w:r>
      <w:hyperlink r:id="rId18" w:history="1">
        <w:r w:rsidR="00B06385" w:rsidRPr="00B06385">
          <w:rPr>
            <w:color w:val="0000FF"/>
            <w:sz w:val="28"/>
            <w:szCs w:val="28"/>
            <w:u w:val="single"/>
            <w:rtl/>
          </w:rPr>
          <w:t>חוק הגנת השכר</w:t>
        </w:r>
      </w:hyperlink>
      <w:r w:rsidR="00B06385">
        <w:rPr>
          <w:rFonts w:hint="cs"/>
          <w:sz w:val="28"/>
          <w:szCs w:val="28"/>
          <w:rtl/>
        </w:rPr>
        <w:t xml:space="preserve">, תשי"ח 1958 (להלן: "חוק הגנת השכר")קובע: </w:t>
      </w:r>
    </w:p>
    <w:p w:rsidR="00393335" w:rsidRDefault="00B06385">
      <w:pPr>
        <w:spacing w:line="360" w:lineRule="auto"/>
        <w:ind w:left="1440"/>
        <w:jc w:val="both"/>
      </w:pPr>
      <w:r>
        <w:rPr>
          <w:rFonts w:hint="cs"/>
          <w:b/>
          <w:bCs/>
          <w:rtl/>
        </w:rPr>
        <w:t>"17א. התיישנות</w:t>
      </w:r>
    </w:p>
    <w:p w:rsidR="00393335" w:rsidRDefault="00B06385">
      <w:pPr>
        <w:pStyle w:val="P00"/>
        <w:numPr>
          <w:ilvl w:val="0"/>
          <w:numId w:val="2"/>
        </w:numPr>
        <w:spacing w:before="0" w:line="360" w:lineRule="auto"/>
        <w:ind w:right="1134"/>
        <w:rPr>
          <w:rFonts w:cs="David"/>
          <w:sz w:val="24"/>
          <w:szCs w:val="24"/>
        </w:rPr>
      </w:pPr>
      <w:r>
        <w:rPr>
          <w:rStyle w:val="default"/>
          <w:rFonts w:cs="David" w:hint="cs"/>
          <w:b/>
          <w:bCs/>
          <w:sz w:val="24"/>
          <w:szCs w:val="24"/>
          <w:rtl/>
        </w:rPr>
        <w:t>הזכות לפיצויי הלנת שכר, להבדיל משכר עבודה, תתיישן אם לא הוגשה תובענה לבית דין אזורי כמשמעותו ב</w:t>
      </w:r>
      <w:hyperlink r:id="rId19" w:history="1">
        <w:r w:rsidRPr="00B06385">
          <w:rPr>
            <w:rFonts w:cs="David"/>
            <w:b/>
            <w:bCs/>
            <w:color w:val="0000FF"/>
            <w:sz w:val="24"/>
            <w:szCs w:val="24"/>
            <w:u w:val="single"/>
            <w:rtl/>
          </w:rPr>
          <w:t>חוק בית הדין לעבודה</w:t>
        </w:r>
      </w:hyperlink>
      <w:r>
        <w:rPr>
          <w:rStyle w:val="default"/>
          <w:rFonts w:cs="David" w:hint="cs"/>
          <w:b/>
          <w:bCs/>
          <w:sz w:val="24"/>
          <w:szCs w:val="24"/>
          <w:rtl/>
        </w:rPr>
        <w:t xml:space="preserve"> תשכ"ט-1969 (להלן – בית דין אזורי) תוך שנה מהיום שבו רואים את השכר כמולן, או תוך 60 ימים מהיום שקיבל העובד את השכר שבו קשור הפיצוי, הכל לפי המוקדם, אולם בית הדין האזורי רשאי להאריך את התקופה של 60 ימים לתקופה של 90 ימים.</w:t>
      </w:r>
      <w:r>
        <w:rPr>
          <w:rFonts w:cs="David" w:hint="cs"/>
          <w:sz w:val="24"/>
          <w:szCs w:val="24"/>
          <w:rtl/>
        </w:rPr>
        <w:t>"</w:t>
      </w:r>
    </w:p>
    <w:p w:rsidR="00393335" w:rsidRDefault="00393335">
      <w:pPr>
        <w:pStyle w:val="P00"/>
        <w:spacing w:before="0" w:line="360" w:lineRule="auto"/>
        <w:ind w:left="1830" w:right="1134"/>
        <w:rPr>
          <w:rFonts w:cs="David"/>
          <w:sz w:val="24"/>
          <w:szCs w:val="24"/>
          <w:rtl/>
        </w:rPr>
      </w:pPr>
    </w:p>
    <w:p w:rsidR="00393335" w:rsidRDefault="00B06385">
      <w:pPr>
        <w:pStyle w:val="P00"/>
        <w:tabs>
          <w:tab w:val="clear" w:pos="6259"/>
          <w:tab w:val="right" w:leader="dot" w:pos="8079"/>
        </w:tabs>
        <w:spacing w:before="0" w:line="360" w:lineRule="auto"/>
        <w:ind w:left="0"/>
        <w:rPr>
          <w:rFonts w:cs="David"/>
          <w:sz w:val="28"/>
          <w:szCs w:val="28"/>
          <w:rtl/>
        </w:rPr>
      </w:pPr>
      <w:r>
        <w:rPr>
          <w:rFonts w:cs="David" w:hint="cs"/>
          <w:sz w:val="28"/>
          <w:szCs w:val="28"/>
          <w:rtl/>
        </w:rPr>
        <w:t xml:space="preserve">שעה שפיצויי הפיטורים שולמו לתובעת בפועל ביום 1.4.09 והתביעה לבית הדין הוגשה ביום 19.4.09, הרי שהזכות לפיצויי הלנה לא התיישנה. </w:t>
      </w:r>
    </w:p>
    <w:p w:rsidR="00393335" w:rsidRDefault="00393335">
      <w:pPr>
        <w:pStyle w:val="P00"/>
        <w:spacing w:before="0" w:line="360" w:lineRule="auto"/>
        <w:ind w:left="0" w:right="1134"/>
        <w:rPr>
          <w:rFonts w:cs="David"/>
          <w:sz w:val="28"/>
          <w:szCs w:val="28"/>
          <w:rtl/>
        </w:rPr>
      </w:pPr>
    </w:p>
    <w:p w:rsidR="00393335" w:rsidRDefault="00B06385">
      <w:pPr>
        <w:pStyle w:val="P00"/>
        <w:spacing w:before="0" w:line="360" w:lineRule="auto"/>
        <w:ind w:left="0"/>
        <w:rPr>
          <w:rFonts w:cs="David"/>
          <w:sz w:val="24"/>
          <w:szCs w:val="24"/>
          <w:rtl/>
        </w:rPr>
      </w:pPr>
      <w:r>
        <w:rPr>
          <w:rFonts w:cs="David" w:hint="cs"/>
          <w:sz w:val="28"/>
          <w:szCs w:val="28"/>
          <w:rtl/>
        </w:rPr>
        <w:t xml:space="preserve">עם זאת, סימון העידה והדברים מקובלים עלינו, כי היא פעלה לשחרור הכספים מקופת הפיצויים המרכזית של המעביד, וזאת בהקדם האפשרי ואף סייעה לתובעת במילוי הטפסים הנדרשים והגשתם אצל רשויות המס והבנק. לטענתה, עקב טעות רישומית בטופס 161, התעכב שחרור הכספים, והמעביד פעל באמצעותה לתיקון מהיר ככל האפשר של הטעות על מנת שכספי הפיצויים ישוחררו </w:t>
      </w:r>
      <w:r>
        <w:rPr>
          <w:rFonts w:cs="David" w:hint="cs"/>
          <w:sz w:val="24"/>
          <w:szCs w:val="24"/>
          <w:rtl/>
        </w:rPr>
        <w:t>(סע' 25 לתצהיר סימון).</w:t>
      </w:r>
    </w:p>
    <w:p w:rsidR="00393335" w:rsidRDefault="00393335">
      <w:pPr>
        <w:pStyle w:val="P00"/>
        <w:spacing w:before="0" w:line="360" w:lineRule="auto"/>
        <w:ind w:left="0"/>
        <w:rPr>
          <w:rFonts w:cs="David"/>
          <w:sz w:val="24"/>
          <w:szCs w:val="24"/>
          <w:rtl/>
        </w:rPr>
      </w:pPr>
    </w:p>
    <w:p w:rsidR="00393335" w:rsidRDefault="00B06385">
      <w:pPr>
        <w:pStyle w:val="P00"/>
        <w:spacing w:before="0" w:line="360" w:lineRule="auto"/>
        <w:ind w:left="0"/>
        <w:jc w:val="left"/>
        <w:rPr>
          <w:rFonts w:cs="David"/>
          <w:sz w:val="24"/>
          <w:szCs w:val="24"/>
          <w:rtl/>
        </w:rPr>
      </w:pPr>
      <w:r>
        <w:rPr>
          <w:rFonts w:cs="David" w:hint="cs"/>
          <w:sz w:val="28"/>
          <w:szCs w:val="28"/>
          <w:rtl/>
        </w:rPr>
        <w:t xml:space="preserve">התובעת אישרה בעדותה כי סימון סייעה לה בשחרור כספי הפיצויים מהר יותר </w:t>
      </w:r>
      <w:r>
        <w:rPr>
          <w:rFonts w:cs="David" w:hint="cs"/>
          <w:sz w:val="24"/>
          <w:szCs w:val="24"/>
          <w:rtl/>
        </w:rPr>
        <w:t>(עמ' 11 ש' 7).</w:t>
      </w:r>
    </w:p>
    <w:p w:rsidR="00393335" w:rsidRDefault="00393335">
      <w:pPr>
        <w:pStyle w:val="P00"/>
        <w:spacing w:before="0" w:line="360" w:lineRule="auto"/>
        <w:ind w:left="0" w:right="1134"/>
        <w:rPr>
          <w:rFonts w:cs="David"/>
          <w:sz w:val="24"/>
          <w:szCs w:val="24"/>
          <w:rtl/>
        </w:rPr>
      </w:pPr>
    </w:p>
    <w:p w:rsidR="00393335" w:rsidRDefault="00B06385">
      <w:pPr>
        <w:pStyle w:val="P00"/>
        <w:spacing w:before="0" w:line="360" w:lineRule="auto"/>
        <w:ind w:left="0"/>
        <w:rPr>
          <w:rFonts w:cs="David"/>
          <w:sz w:val="28"/>
          <w:szCs w:val="28"/>
          <w:rtl/>
        </w:rPr>
      </w:pPr>
      <w:r>
        <w:rPr>
          <w:rFonts w:cs="David" w:hint="cs"/>
          <w:sz w:val="28"/>
          <w:szCs w:val="28"/>
          <w:rtl/>
        </w:rPr>
        <w:t>בנסיבות אלה, אנו סבורים כי יש מקום להפחית את פיצויי ההלנה ולהעמידם על הפרשי הצמדה וריבית בלבד, וזאת מיום הפסקת העבודה- 22.10.08 ועד ליום 1.4.09.</w:t>
      </w:r>
    </w:p>
    <w:p w:rsidR="00393335" w:rsidRDefault="00393335">
      <w:pPr>
        <w:spacing w:line="360" w:lineRule="auto"/>
        <w:jc w:val="both"/>
        <w:rPr>
          <w:sz w:val="28"/>
          <w:szCs w:val="28"/>
          <w:u w:val="single"/>
          <w:rtl/>
        </w:rPr>
      </w:pPr>
    </w:p>
    <w:p w:rsidR="00393335" w:rsidRDefault="00B06385">
      <w:pPr>
        <w:spacing w:line="360" w:lineRule="auto"/>
        <w:jc w:val="both"/>
        <w:rPr>
          <w:sz w:val="28"/>
          <w:szCs w:val="28"/>
          <w:rtl/>
        </w:rPr>
      </w:pPr>
      <w:r>
        <w:rPr>
          <w:rFonts w:hint="cs"/>
          <w:b/>
          <w:bCs/>
          <w:sz w:val="28"/>
          <w:szCs w:val="28"/>
          <w:u w:val="single"/>
          <w:rtl/>
        </w:rPr>
        <w:t>"הפרשי פדיון חופשה"</w:t>
      </w:r>
      <w:r>
        <w:rPr>
          <w:rFonts w:hint="cs"/>
          <w:sz w:val="28"/>
          <w:szCs w:val="28"/>
          <w:rtl/>
        </w:rPr>
        <w:t>:</w:t>
      </w:r>
    </w:p>
    <w:p w:rsidR="00393335" w:rsidRDefault="00393335">
      <w:pPr>
        <w:spacing w:line="360" w:lineRule="auto"/>
        <w:jc w:val="both"/>
        <w:rPr>
          <w:sz w:val="28"/>
          <w:szCs w:val="28"/>
          <w:u w:val="single"/>
          <w:rtl/>
        </w:rPr>
      </w:pPr>
    </w:p>
    <w:p w:rsidR="00393335" w:rsidRDefault="00B06385">
      <w:pPr>
        <w:spacing w:line="360" w:lineRule="auto"/>
        <w:jc w:val="both"/>
        <w:rPr>
          <w:sz w:val="28"/>
          <w:szCs w:val="28"/>
          <w:rtl/>
        </w:rPr>
      </w:pPr>
      <w:r>
        <w:rPr>
          <w:rFonts w:hint="cs"/>
          <w:sz w:val="28"/>
          <w:szCs w:val="28"/>
          <w:rtl/>
        </w:rPr>
        <w:t xml:space="preserve">התובעת טענה כי מכוח צו ההרחבה היא זכאית ליתרת פדיון חופשה של 32 ימים בסך כולל של 5,299 ₪. לחלופין, בהתאם להוראות </w:t>
      </w:r>
      <w:hyperlink r:id="rId20" w:history="1">
        <w:r w:rsidRPr="00B06385">
          <w:rPr>
            <w:color w:val="0000FF"/>
            <w:sz w:val="28"/>
            <w:szCs w:val="28"/>
            <w:u w:val="single"/>
            <w:rtl/>
          </w:rPr>
          <w:t>חוק חופשה שנתית</w:t>
        </w:r>
      </w:hyperlink>
      <w:r>
        <w:rPr>
          <w:rFonts w:hint="cs"/>
          <w:sz w:val="28"/>
          <w:szCs w:val="28"/>
          <w:rtl/>
        </w:rPr>
        <w:t xml:space="preserve">, תשי"א- 1951 (להלן: </w:t>
      </w:r>
      <w:r>
        <w:rPr>
          <w:rFonts w:hint="cs"/>
          <w:b/>
          <w:bCs/>
          <w:sz w:val="28"/>
          <w:szCs w:val="28"/>
          <w:rtl/>
        </w:rPr>
        <w:t>"חוק חופשה שנתית"</w:t>
      </w:r>
      <w:r>
        <w:rPr>
          <w:rFonts w:hint="cs"/>
          <w:sz w:val="28"/>
          <w:szCs w:val="28"/>
          <w:rtl/>
        </w:rPr>
        <w:t xml:space="preserve">), ובכפוף להוראות ההתיישנות, היא זכאית ליתרה של 15 ימים. </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 xml:space="preserve">משקבענו כי הוראות צו ההרחבה בענף הדפוס אינן חלות על יחסי העבודה בין הצדדים, הרי שיש לבחון את זכאות התובעת בהתאם להוראות </w:t>
      </w:r>
      <w:hyperlink r:id="rId21" w:history="1">
        <w:r w:rsidRPr="00B06385">
          <w:rPr>
            <w:color w:val="0000FF"/>
            <w:sz w:val="28"/>
            <w:szCs w:val="28"/>
            <w:u w:val="single"/>
            <w:rtl/>
          </w:rPr>
          <w:t>חוק חופשה שנתית</w:t>
        </w:r>
      </w:hyperlink>
      <w:r>
        <w:rPr>
          <w:rFonts w:hint="cs"/>
          <w:sz w:val="28"/>
          <w:szCs w:val="28"/>
          <w:rtl/>
        </w:rPr>
        <w:t>.</w:t>
      </w:r>
    </w:p>
    <w:p w:rsidR="00393335" w:rsidRDefault="00393335">
      <w:pPr>
        <w:spacing w:line="360" w:lineRule="auto"/>
        <w:jc w:val="both"/>
        <w:rPr>
          <w:sz w:val="28"/>
          <w:szCs w:val="28"/>
          <w:rtl/>
        </w:rPr>
      </w:pPr>
    </w:p>
    <w:p w:rsidR="00393335" w:rsidRDefault="00B06385">
      <w:pPr>
        <w:spacing w:line="360" w:lineRule="auto"/>
        <w:jc w:val="both"/>
        <w:rPr>
          <w:rtl/>
        </w:rPr>
      </w:pPr>
      <w:r>
        <w:rPr>
          <w:rFonts w:hint="cs"/>
          <w:sz w:val="28"/>
          <w:szCs w:val="28"/>
          <w:rtl/>
        </w:rPr>
        <w:t xml:space="preserve">אנו מקבלים את גרסת המעביד, אשר גובתה במסמכים בכתב </w:t>
      </w:r>
      <w:r>
        <w:rPr>
          <w:rFonts w:hint="cs"/>
          <w:rtl/>
        </w:rPr>
        <w:t xml:space="preserve">(ר' סע' 26-31, נספחים ד1-ד3 ו-ה1-ה-3 לתצהיר סימון), </w:t>
      </w:r>
      <w:r>
        <w:rPr>
          <w:rFonts w:hint="cs"/>
          <w:sz w:val="28"/>
          <w:szCs w:val="28"/>
          <w:rtl/>
        </w:rPr>
        <w:t xml:space="preserve">כי התובעת ניצלה 8 ימי חופשה בפועל במהלך שנת 2008. עוד עולה כי לתובעת שולם בפועל, פדיון חופשה 45 ימים </w:t>
      </w:r>
      <w:r>
        <w:rPr>
          <w:rFonts w:hint="cs"/>
          <w:rtl/>
        </w:rPr>
        <w:t>(נספחים ו-ז1-ז2 לתצהיר סימון).</w:t>
      </w:r>
    </w:p>
    <w:p w:rsidR="00393335" w:rsidRDefault="00B06385">
      <w:pPr>
        <w:spacing w:line="360" w:lineRule="auto"/>
        <w:jc w:val="both"/>
        <w:rPr>
          <w:sz w:val="28"/>
          <w:szCs w:val="28"/>
          <w:rtl/>
        </w:rPr>
      </w:pPr>
      <w:r>
        <w:rPr>
          <w:rFonts w:hint="cs"/>
          <w:sz w:val="28"/>
          <w:szCs w:val="28"/>
          <w:rtl/>
        </w:rPr>
        <w:t>כלומר, בסה"כ שולמו לתובעת לפחות 53 ימי חופשה, ותביעתה בהקשר זה תידחה.</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b/>
          <w:bCs/>
          <w:sz w:val="28"/>
          <w:szCs w:val="28"/>
          <w:u w:val="single"/>
          <w:rtl/>
        </w:rPr>
        <w:t>"דמי נסיעות"</w:t>
      </w:r>
      <w:r>
        <w:rPr>
          <w:rFonts w:hint="cs"/>
          <w:sz w:val="28"/>
          <w:szCs w:val="28"/>
          <w:rtl/>
        </w:rPr>
        <w:t>:</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 xml:space="preserve">אין חולק כי בתקופה הרלוונטית לתביעה התגוררה התובעת בעיר לוד, כאשר מקום העבודה היה בראשל"צ. לטענתה, החל משנת 2003 ועד 5/07 כלל לא שולמו לה הוצאות נסיעה, והחל מחודש 5/07 ועד 5/08 שולם לה החזר נסיעות בסך 10 ₪ ליום ובסה"כ של 2,500 ₪ בגין כל תקופת עבודתה </w:t>
      </w:r>
      <w:r>
        <w:rPr>
          <w:rFonts w:hint="cs"/>
          <w:rtl/>
        </w:rPr>
        <w:t xml:space="preserve">(נספח ג' לתצהיר התובעת, עמ' 10 ש' 24 לפרוטוקול). </w:t>
      </w:r>
      <w:r>
        <w:rPr>
          <w:rFonts w:hint="cs"/>
          <w:sz w:val="28"/>
          <w:szCs w:val="28"/>
          <w:rtl/>
        </w:rPr>
        <w:t>לגרסתה, רכיב הנסיעות המופיע בתלושי השכר הינו פיקטיבי ולמעשה נגרע משכר היסוד של התובעת.</w:t>
      </w:r>
    </w:p>
    <w:p w:rsidR="00393335" w:rsidRDefault="00B06385">
      <w:pPr>
        <w:spacing w:line="360" w:lineRule="auto"/>
        <w:jc w:val="both"/>
        <w:rPr>
          <w:sz w:val="28"/>
          <w:szCs w:val="28"/>
          <w:rtl/>
        </w:rPr>
      </w:pPr>
      <w:r>
        <w:rPr>
          <w:rFonts w:hint="cs"/>
          <w:sz w:val="28"/>
          <w:szCs w:val="28"/>
          <w:rtl/>
        </w:rPr>
        <w:t xml:space="preserve">לטענת התובעת, היא שילמה דמי נסיעות בסך 300 ₪ לחודש (עלות "חופשי חודשי") ועל כן היא זכאית ליתרת הפרשי נסיעות בסך 16,280 ₪. </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 xml:space="preserve">לטענת המעביד, התובעת נהגה לרוב להגיע לעבודתה ולשוב ממנו לביתה עם בעלה, </w:t>
      </w:r>
      <w:r>
        <w:rPr>
          <w:rFonts w:hint="cs"/>
          <w:b/>
          <w:bCs/>
          <w:sz w:val="28"/>
          <w:szCs w:val="28"/>
          <w:rtl/>
        </w:rPr>
        <w:t>שעבד גם הוא אצל הנתבעת</w:t>
      </w:r>
      <w:r>
        <w:rPr>
          <w:rFonts w:hint="cs"/>
          <w:sz w:val="28"/>
          <w:szCs w:val="28"/>
          <w:rtl/>
        </w:rPr>
        <w:t xml:space="preserve"> </w:t>
      </w:r>
      <w:r>
        <w:rPr>
          <w:rFonts w:hint="cs"/>
          <w:rtl/>
        </w:rPr>
        <w:t>(סע' 35 לתצהיר סימון, סע' 11 לתצהיר אלעד)</w:t>
      </w:r>
      <w:r>
        <w:rPr>
          <w:rFonts w:hint="cs"/>
          <w:sz w:val="28"/>
          <w:szCs w:val="28"/>
          <w:rtl/>
        </w:rPr>
        <w:t>.</w:t>
      </w:r>
    </w:p>
    <w:p w:rsidR="00393335" w:rsidRDefault="00B06385">
      <w:pPr>
        <w:spacing w:line="360" w:lineRule="auto"/>
        <w:jc w:val="both"/>
        <w:rPr>
          <w:rtl/>
        </w:rPr>
      </w:pPr>
      <w:r>
        <w:rPr>
          <w:rFonts w:hint="cs"/>
          <w:sz w:val="28"/>
          <w:szCs w:val="28"/>
          <w:rtl/>
        </w:rPr>
        <w:t xml:space="preserve">חרף האמור, שולם לתובעת החזר הוצאות נסיעה של 10 ₪ ליום או 200 ₪ עפ"י עלות "חופשי חודשי" </w:t>
      </w:r>
      <w:r>
        <w:rPr>
          <w:rFonts w:hint="cs"/>
          <w:rtl/>
        </w:rPr>
        <w:t>(סע' 36 לתצהיר סימון).</w:t>
      </w:r>
    </w:p>
    <w:p w:rsidR="00393335" w:rsidRDefault="00393335">
      <w:pPr>
        <w:spacing w:line="360" w:lineRule="auto"/>
        <w:jc w:val="both"/>
        <w:rPr>
          <w:rtl/>
        </w:rPr>
      </w:pPr>
    </w:p>
    <w:p w:rsidR="00393335" w:rsidRDefault="00B06385">
      <w:pPr>
        <w:spacing w:line="360" w:lineRule="auto"/>
        <w:jc w:val="both"/>
        <w:rPr>
          <w:sz w:val="28"/>
          <w:szCs w:val="28"/>
          <w:rtl/>
        </w:rPr>
      </w:pPr>
      <w:r>
        <w:rPr>
          <w:rFonts w:hint="cs"/>
          <w:sz w:val="28"/>
          <w:szCs w:val="28"/>
          <w:rtl/>
        </w:rPr>
        <w:t xml:space="preserve">עיון בתלושי השכר של התובעת מעלה כי במשך מרבית תקופת העבודה שולמו לה דמי נסיעות בסך של 200 ₪ לחודש. התובעת לא הוכיחה את טענתה כי היה מדובר ברכיב פיקטיבי, ושעה שמופיע בתלושים רכיב נפרד של "נסיעות", ההנחה היא כי מדובר </w:t>
      </w:r>
      <w:r>
        <w:rPr>
          <w:rFonts w:hint="cs"/>
          <w:sz w:val="28"/>
          <w:szCs w:val="28"/>
          <w:rtl/>
        </w:rPr>
        <w:lastRenderedPageBreak/>
        <w:t xml:space="preserve">ברכיב אמיתי ששולם כנגד הוצאות נסיעה. זאת ועוד, התובעת גם לא הוכיחה כי גובה ההוצאות שהוציאה בפועל היה גבוה מהסכום ששולם לה הלכה למעשה.  </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אשר על כן, דין תביעתה ברכיב זה להידחות.</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b/>
          <w:bCs/>
          <w:sz w:val="28"/>
          <w:szCs w:val="28"/>
          <w:u w:val="single"/>
          <w:rtl/>
        </w:rPr>
        <w:t>סוף דבר</w:t>
      </w:r>
      <w:r>
        <w:rPr>
          <w:rFonts w:hint="cs"/>
          <w:sz w:val="28"/>
          <w:szCs w:val="28"/>
          <w:rtl/>
        </w:rPr>
        <w:t>:</w:t>
      </w:r>
    </w:p>
    <w:p w:rsidR="00393335" w:rsidRDefault="00393335">
      <w:pPr>
        <w:spacing w:line="360" w:lineRule="auto"/>
        <w:jc w:val="both"/>
        <w:rPr>
          <w:b/>
          <w:bCs/>
          <w:sz w:val="28"/>
          <w:szCs w:val="28"/>
          <w:rtl/>
        </w:rPr>
      </w:pPr>
    </w:p>
    <w:p w:rsidR="00393335" w:rsidRDefault="00B06385">
      <w:pPr>
        <w:spacing w:line="360" w:lineRule="auto"/>
        <w:jc w:val="both"/>
        <w:rPr>
          <w:sz w:val="28"/>
          <w:szCs w:val="28"/>
        </w:rPr>
      </w:pPr>
      <w:r>
        <w:rPr>
          <w:rFonts w:hint="cs"/>
          <w:sz w:val="28"/>
          <w:szCs w:val="28"/>
          <w:rtl/>
        </w:rPr>
        <w:t>התביעה מתקבלת בחלקה הקטן בלבד. הנתבעת 1 תשלם לתובעת את הסכומים הבאים:</w:t>
      </w:r>
    </w:p>
    <w:p w:rsidR="00393335" w:rsidRDefault="00393335">
      <w:pPr>
        <w:spacing w:line="360" w:lineRule="auto"/>
        <w:jc w:val="both"/>
        <w:rPr>
          <w:sz w:val="28"/>
          <w:szCs w:val="28"/>
          <w:rtl/>
        </w:rPr>
      </w:pPr>
    </w:p>
    <w:p w:rsidR="00393335" w:rsidRDefault="00B06385">
      <w:pPr>
        <w:pStyle w:val="ListParagraph"/>
        <w:numPr>
          <w:ilvl w:val="0"/>
          <w:numId w:val="3"/>
        </w:numPr>
        <w:spacing w:after="0" w:line="360" w:lineRule="auto"/>
        <w:jc w:val="both"/>
        <w:rPr>
          <w:rFonts w:cs="David"/>
          <w:sz w:val="28"/>
          <w:szCs w:val="28"/>
          <w:rtl/>
        </w:rPr>
      </w:pPr>
      <w:r>
        <w:rPr>
          <w:rFonts w:cs="David" w:hint="cs"/>
          <w:sz w:val="28"/>
          <w:szCs w:val="28"/>
          <w:rtl/>
        </w:rPr>
        <w:t>פיצוי בגין גמול עבודה בשעות נוספות בסך 9,000 ₪.</w:t>
      </w:r>
    </w:p>
    <w:p w:rsidR="00393335" w:rsidRDefault="00B06385">
      <w:pPr>
        <w:pStyle w:val="P00"/>
        <w:numPr>
          <w:ilvl w:val="0"/>
          <w:numId w:val="3"/>
        </w:numPr>
        <w:spacing w:before="0" w:line="360" w:lineRule="auto"/>
        <w:rPr>
          <w:rFonts w:cs="David"/>
          <w:sz w:val="28"/>
          <w:szCs w:val="28"/>
        </w:rPr>
      </w:pPr>
      <w:r>
        <w:rPr>
          <w:rFonts w:cs="David" w:hint="cs"/>
          <w:sz w:val="28"/>
          <w:szCs w:val="28"/>
          <w:rtl/>
        </w:rPr>
        <w:t xml:space="preserve"> הפרשי הצמדה וריבית חוקית בלבד, על סכום פיצויי הפיטורים ששולמו (22,744.55 ₪) וזאת מיום הפסקת העבודה- 22.10.08 ועד ליום 1.4.09.</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הסכומים שלעיל יישאו הפרשי הצמדה וריבית חוקית מיום הגשת התביעה (19.4.09) ועד התשלום בפועל.</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התביעה נגד התובעת 2 נדחית.</w:t>
      </w: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sz w:val="28"/>
          <w:szCs w:val="28"/>
          <w:rtl/>
        </w:rPr>
        <w:t>התביעה כנגד נתבעת מס' 1 התקבלה בחלקה המזערי ולפיכך כל צד ישא בהוצאותיו.</w:t>
      </w:r>
    </w:p>
    <w:p w:rsidR="00393335" w:rsidRDefault="00B06385">
      <w:pPr>
        <w:spacing w:line="360" w:lineRule="auto"/>
        <w:jc w:val="both"/>
        <w:rPr>
          <w:sz w:val="28"/>
          <w:szCs w:val="28"/>
          <w:rtl/>
        </w:rPr>
      </w:pPr>
      <w:r>
        <w:rPr>
          <w:rFonts w:hint="cs"/>
          <w:sz w:val="28"/>
          <w:szCs w:val="28"/>
          <w:rtl/>
        </w:rPr>
        <w:t xml:space="preserve">התביעה כנגד נתבעת מס' 2 נדחתה במלואה, ולפיכך התובעת תשלם לנתבעת זו סך של 2,500 ₪ בצרוף מע"מ הוצאות שכ"ט עו"ד. </w:t>
      </w:r>
    </w:p>
    <w:p w:rsidR="00393335" w:rsidRDefault="00393335">
      <w:pPr>
        <w:spacing w:line="360" w:lineRule="auto"/>
        <w:jc w:val="both"/>
        <w:rPr>
          <w:sz w:val="28"/>
          <w:szCs w:val="28"/>
          <w:rtl/>
        </w:rPr>
      </w:pPr>
    </w:p>
    <w:p w:rsidR="00393335" w:rsidRDefault="00393335">
      <w:pPr>
        <w:spacing w:line="360" w:lineRule="auto"/>
        <w:jc w:val="both"/>
        <w:rPr>
          <w:sz w:val="28"/>
          <w:szCs w:val="28"/>
          <w:rtl/>
        </w:rPr>
      </w:pPr>
    </w:p>
    <w:p w:rsidR="00393335" w:rsidRDefault="00B06385">
      <w:pPr>
        <w:spacing w:line="360" w:lineRule="auto"/>
        <w:jc w:val="both"/>
        <w:rPr>
          <w:sz w:val="28"/>
          <w:szCs w:val="28"/>
          <w:rtl/>
        </w:rPr>
      </w:pPr>
      <w:r>
        <w:rPr>
          <w:rFonts w:hint="cs"/>
          <w:b/>
          <w:bCs/>
          <w:sz w:val="28"/>
          <w:szCs w:val="28"/>
          <w:u w:val="single"/>
          <w:rtl/>
        </w:rPr>
        <w:t>זכות ערעור</w:t>
      </w:r>
      <w:r>
        <w:rPr>
          <w:rFonts w:hint="cs"/>
          <w:b/>
          <w:bCs/>
          <w:sz w:val="28"/>
          <w:szCs w:val="28"/>
          <w:rtl/>
        </w:rPr>
        <w:t>:</w:t>
      </w:r>
      <w:r>
        <w:rPr>
          <w:rFonts w:hint="cs"/>
          <w:sz w:val="28"/>
          <w:szCs w:val="28"/>
          <w:rtl/>
        </w:rPr>
        <w:t xml:space="preserve"> תוך 30 יום. </w:t>
      </w:r>
    </w:p>
    <w:p w:rsidR="00393335" w:rsidRDefault="00393335">
      <w:pPr>
        <w:spacing w:line="360" w:lineRule="auto"/>
        <w:jc w:val="both"/>
        <w:rPr>
          <w:rFonts w:ascii="Arial" w:hAnsi="Arial"/>
          <w:noProof w:val="0"/>
          <w:sz w:val="28"/>
          <w:szCs w:val="28"/>
          <w:rtl/>
        </w:rPr>
      </w:pPr>
    </w:p>
    <w:p w:rsidR="00393335" w:rsidRDefault="00393335">
      <w:pPr>
        <w:spacing w:line="360" w:lineRule="auto"/>
        <w:jc w:val="both"/>
        <w:rPr>
          <w:rFonts w:ascii="Arial" w:hAnsi="Arial"/>
          <w:noProof w:val="0"/>
          <w:sz w:val="28"/>
          <w:szCs w:val="28"/>
          <w:rtl/>
        </w:rPr>
      </w:pPr>
    </w:p>
    <w:p w:rsidR="00393335" w:rsidRDefault="00B06385">
      <w:pPr>
        <w:spacing w:line="360" w:lineRule="auto"/>
        <w:jc w:val="both"/>
        <w:rPr>
          <w:rFonts w:ascii="Arial" w:hAnsi="Arial"/>
          <w:noProof w:val="0"/>
          <w:rtl/>
        </w:rPr>
      </w:pPr>
      <w:r>
        <w:rPr>
          <w:rFonts w:ascii="Arial" w:hAnsi="Arial"/>
          <w:b/>
          <w:bCs/>
          <w:noProof w:val="0"/>
          <w:sz w:val="28"/>
          <w:szCs w:val="28"/>
          <w:rtl/>
        </w:rPr>
        <w:t xml:space="preserve">ניתן היום, ה' תמוז תשע"ד, (03 יולי 2014), בהעדר הצדדים.  </w:t>
      </w:r>
    </w:p>
    <w:p w:rsidR="00393335" w:rsidRDefault="00393335">
      <w:pPr>
        <w:spacing w:line="360" w:lineRule="auto"/>
        <w:ind w:left="3600" w:firstLine="720"/>
        <w:jc w:val="both"/>
      </w:pPr>
    </w:p>
    <w:p w:rsidR="00393335" w:rsidRDefault="00393335">
      <w:pPr>
        <w:spacing w:line="360" w:lineRule="auto"/>
        <w:ind w:left="3600" w:firstLine="720"/>
        <w:jc w:val="both"/>
        <w:rPr>
          <w:rFonts w:ascii="Arial" w:hAnsi="Arial"/>
          <w:noProof w:val="0"/>
          <w:rtl/>
        </w:rPr>
      </w:pPr>
    </w:p>
    <w:p w:rsidR="00393335" w:rsidRDefault="00393335">
      <w:pPr>
        <w:spacing w:line="360" w:lineRule="auto"/>
        <w:jc w:val="both"/>
        <w:rPr>
          <w:rFonts w:ascii="Arial" w:hAnsi="Arial"/>
          <w:noProof w:val="0"/>
          <w:rtl/>
        </w:rPr>
      </w:pPr>
    </w:p>
    <w:p w:rsidR="00393335" w:rsidRPr="00B06385" w:rsidRDefault="00B06385">
      <w:pPr>
        <w:spacing w:line="360" w:lineRule="auto"/>
        <w:jc w:val="both"/>
        <w:rPr>
          <w:rFonts w:ascii="Arial" w:hAnsi="Arial"/>
          <w:noProof w:val="0"/>
          <w:color w:val="FFFFFF"/>
          <w:sz w:val="2"/>
          <w:szCs w:val="2"/>
          <w:rtl/>
        </w:rPr>
      </w:pPr>
      <w:r w:rsidRPr="00B06385">
        <w:rPr>
          <w:rFonts w:ascii="Arial" w:hAnsi="Arial"/>
          <w:noProof w:val="0"/>
          <w:color w:val="FFFFFF"/>
          <w:sz w:val="2"/>
          <w:szCs w:val="2"/>
          <w:rtl/>
        </w:rPr>
        <w:t>5129371</w:t>
      </w:r>
    </w:p>
    <w:tbl>
      <w:tblPr>
        <w:bidiVisual/>
        <w:tblW w:w="0" w:type="auto"/>
        <w:tblLook w:val="01E0"/>
      </w:tblPr>
      <w:tblGrid>
        <w:gridCol w:w="2654"/>
        <w:gridCol w:w="360"/>
        <w:gridCol w:w="2520"/>
      </w:tblGrid>
      <w:tr w:rsidR="00393335">
        <w:tc>
          <w:tcPr>
            <w:tcW w:w="2654" w:type="dxa"/>
            <w:tcBorders>
              <w:top w:val="nil"/>
              <w:left w:val="nil"/>
              <w:bottom w:val="single" w:sz="4" w:space="0" w:color="auto"/>
              <w:right w:val="nil"/>
            </w:tcBorders>
          </w:tcPr>
          <w:p w:rsidR="00393335" w:rsidRPr="00B06385" w:rsidRDefault="00B06385">
            <w:pPr>
              <w:rPr>
                <w:color w:val="FFFFFF"/>
                <w:sz w:val="2"/>
                <w:szCs w:val="2"/>
              </w:rPr>
            </w:pPr>
            <w:r w:rsidRPr="00B06385">
              <w:rPr>
                <w:color w:val="FFFFFF"/>
                <w:sz w:val="2"/>
                <w:szCs w:val="2"/>
                <w:rtl/>
              </w:rPr>
              <w:t>54678313</w:t>
            </w:r>
          </w:p>
          <w:p w:rsidR="00393335" w:rsidRDefault="00393335">
            <w:pPr>
              <w:jc w:val="center"/>
              <w:rPr>
                <w:b/>
                <w:bCs/>
              </w:rPr>
            </w:pPr>
          </w:p>
        </w:tc>
        <w:tc>
          <w:tcPr>
            <w:tcW w:w="360" w:type="dxa"/>
          </w:tcPr>
          <w:p w:rsidR="00393335" w:rsidRDefault="00393335">
            <w:pPr>
              <w:jc w:val="center"/>
              <w:rPr>
                <w:b/>
                <w:bCs/>
              </w:rPr>
            </w:pPr>
          </w:p>
        </w:tc>
        <w:tc>
          <w:tcPr>
            <w:tcW w:w="2520" w:type="dxa"/>
            <w:tcBorders>
              <w:top w:val="nil"/>
              <w:left w:val="nil"/>
              <w:bottom w:val="single" w:sz="4" w:space="0" w:color="auto"/>
              <w:right w:val="nil"/>
            </w:tcBorders>
          </w:tcPr>
          <w:p w:rsidR="00393335" w:rsidRDefault="00393335">
            <w:pPr>
              <w:jc w:val="center"/>
              <w:rPr>
                <w:b/>
                <w:bCs/>
              </w:rPr>
            </w:pPr>
          </w:p>
        </w:tc>
      </w:tr>
      <w:tr w:rsidR="00393335">
        <w:tc>
          <w:tcPr>
            <w:tcW w:w="2654" w:type="dxa"/>
            <w:tcBorders>
              <w:top w:val="single" w:sz="4" w:space="0" w:color="auto"/>
              <w:left w:val="nil"/>
              <w:bottom w:val="nil"/>
              <w:right w:val="nil"/>
            </w:tcBorders>
          </w:tcPr>
          <w:p w:rsidR="00393335" w:rsidRDefault="00B06385">
            <w:pPr>
              <w:jc w:val="center"/>
              <w:rPr>
                <w:b/>
                <w:bCs/>
              </w:rPr>
            </w:pPr>
            <w:r>
              <w:rPr>
                <w:rFonts w:hint="cs"/>
                <w:b/>
                <w:bCs/>
                <w:rtl/>
              </w:rPr>
              <w:t>נ.מ. מר י. שוסטק</w:t>
            </w:r>
          </w:p>
        </w:tc>
        <w:tc>
          <w:tcPr>
            <w:tcW w:w="360" w:type="dxa"/>
          </w:tcPr>
          <w:p w:rsidR="00393335" w:rsidRDefault="00393335">
            <w:pPr>
              <w:jc w:val="center"/>
              <w:rPr>
                <w:b/>
                <w:bCs/>
              </w:rPr>
            </w:pPr>
          </w:p>
        </w:tc>
        <w:tc>
          <w:tcPr>
            <w:tcW w:w="2520" w:type="dxa"/>
            <w:tcBorders>
              <w:top w:val="single" w:sz="4" w:space="0" w:color="auto"/>
              <w:left w:val="nil"/>
              <w:bottom w:val="nil"/>
              <w:right w:val="nil"/>
            </w:tcBorders>
          </w:tcPr>
          <w:p w:rsidR="00393335" w:rsidRDefault="00B06385">
            <w:pPr>
              <w:jc w:val="center"/>
              <w:rPr>
                <w:b/>
                <w:bCs/>
              </w:rPr>
            </w:pPr>
            <w:r>
              <w:rPr>
                <w:rFonts w:hint="cs"/>
                <w:b/>
                <w:bCs/>
                <w:rtl/>
              </w:rPr>
              <w:t>ד"ר יצחק לובוצקי, שופט</w:t>
            </w:r>
          </w:p>
        </w:tc>
      </w:tr>
    </w:tbl>
    <w:p w:rsidR="00393335" w:rsidRPr="00C10902" w:rsidRDefault="00C10902">
      <w:pPr>
        <w:rPr>
          <w:color w:val="FFFFFF"/>
          <w:sz w:val="2"/>
          <w:szCs w:val="2"/>
        </w:rPr>
      </w:pPr>
      <w:r w:rsidRPr="00C10902">
        <w:rPr>
          <w:color w:val="FFFFFF"/>
          <w:sz w:val="2"/>
          <w:szCs w:val="2"/>
          <w:rtl/>
        </w:rPr>
        <w:t>5129371</w:t>
      </w:r>
    </w:p>
    <w:p w:rsidR="00B06385" w:rsidRPr="00C10902" w:rsidRDefault="00C10902" w:rsidP="00B06385">
      <w:pPr>
        <w:keepNext/>
        <w:rPr>
          <w:rFonts w:ascii="David" w:hAnsi="David"/>
          <w:color w:val="FFFFFF"/>
          <w:sz w:val="2"/>
          <w:szCs w:val="2"/>
          <w:rtl/>
        </w:rPr>
      </w:pPr>
      <w:r w:rsidRPr="00C10902">
        <w:rPr>
          <w:rFonts w:ascii="David" w:hAnsi="David"/>
          <w:color w:val="FFFFFF"/>
          <w:sz w:val="2"/>
          <w:szCs w:val="2"/>
          <w:rtl/>
        </w:rPr>
        <w:lastRenderedPageBreak/>
        <w:t>54678313</w:t>
      </w:r>
    </w:p>
    <w:p w:rsidR="00B06385" w:rsidRPr="00B06385" w:rsidRDefault="00B06385" w:rsidP="00B06385">
      <w:pPr>
        <w:keepNext/>
        <w:rPr>
          <w:rFonts w:ascii="David" w:hAnsi="David"/>
          <w:color w:val="000000"/>
          <w:sz w:val="22"/>
          <w:szCs w:val="22"/>
          <w:rtl/>
        </w:rPr>
      </w:pPr>
      <w:r w:rsidRPr="00B06385">
        <w:rPr>
          <w:rFonts w:ascii="David" w:hAnsi="David"/>
          <w:color w:val="000000"/>
          <w:sz w:val="22"/>
          <w:szCs w:val="22"/>
          <w:rtl/>
        </w:rPr>
        <w:t>ד"ר יצחק לובוצקי 54678313-3418/09</w:t>
      </w:r>
    </w:p>
    <w:p w:rsidR="00B06385" w:rsidRDefault="00B06385" w:rsidP="00B06385">
      <w:r w:rsidRPr="00B06385">
        <w:rPr>
          <w:color w:val="000000"/>
          <w:rtl/>
        </w:rPr>
        <w:t>נוסח מסמך זה כפוף לשינויי ניסוח ועריכה</w:t>
      </w:r>
    </w:p>
    <w:p w:rsidR="00B06385" w:rsidRDefault="00B06385" w:rsidP="00B06385">
      <w:pPr>
        <w:rPr>
          <w:rtl/>
        </w:rPr>
      </w:pPr>
    </w:p>
    <w:p w:rsidR="00B06385" w:rsidRDefault="00B06385" w:rsidP="00B06385">
      <w:pPr>
        <w:jc w:val="center"/>
        <w:rPr>
          <w:color w:val="0000FF"/>
          <w:u w:val="single"/>
        </w:rPr>
      </w:pPr>
      <w:hyperlink r:id="rId22" w:history="1">
        <w:r>
          <w:rPr>
            <w:color w:val="0000FF"/>
            <w:u w:val="single"/>
            <w:rtl/>
          </w:rPr>
          <w:t>בעניין עריכה ושינויים במסמכי פסיקה, חקיקה ועוד באתר נבו – הקש כאן</w:t>
        </w:r>
      </w:hyperlink>
    </w:p>
    <w:p w:rsidR="00C10902" w:rsidRPr="00C10902" w:rsidRDefault="00C10902" w:rsidP="00C10902">
      <w:pPr>
        <w:keepNext/>
        <w:rPr>
          <w:rFonts w:ascii="David" w:hAnsi="David"/>
          <w:color w:val="000000"/>
          <w:sz w:val="22"/>
          <w:szCs w:val="22"/>
          <w:rtl/>
        </w:rPr>
      </w:pPr>
    </w:p>
    <w:sectPr w:rsidR="00C10902" w:rsidRPr="00C10902" w:rsidSect="00C10902">
      <w:headerReference w:type="even" r:id="rId23"/>
      <w:headerReference w:type="default" r:id="rId24"/>
      <w:footerReference w:type="even" r:id="rId25"/>
      <w:footerReference w:type="default" r:id="rId26"/>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F0" w:rsidRPr="00E94A06" w:rsidRDefault="00684BF0">
      <w:pPr>
        <w:rPr>
          <w:rFonts w:cs="Arial"/>
          <w:szCs w:val="20"/>
        </w:rPr>
      </w:pPr>
      <w:r>
        <w:separator/>
      </w:r>
    </w:p>
  </w:endnote>
  <w:endnote w:type="continuationSeparator" w:id="0">
    <w:p w:rsidR="00684BF0" w:rsidRPr="00E94A06" w:rsidRDefault="00684BF0">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02" w:rsidRDefault="00C10902" w:rsidP="00C10902">
    <w:pPr>
      <w:pStyle w:val="Footer"/>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rsidR="00B06385" w:rsidRPr="00C10902" w:rsidRDefault="00E62286" w:rsidP="00C10902">
    <w:pPr>
      <w:pStyle w:val="Footer"/>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lang w:bidi="ar-SA"/>
      </w:rPr>
      <w:drawing>
        <wp:inline distT="0" distB="0" distL="0" distR="0">
          <wp:extent cx="552450" cy="228600"/>
          <wp:effectExtent l="19050" t="0" r="0" b="0"/>
          <wp:docPr id="1" name="Picture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02" w:rsidRDefault="00C10902" w:rsidP="00C10902">
    <w:pPr>
      <w:pStyle w:val="Footer"/>
      <w:jc w:val="center"/>
      <w:rPr>
        <w:rStyle w:val="PageNumber"/>
        <w:rFonts w:ascii="FrankRuehl" w:hAnsi="FrankRuehl" w:cs="FrankRuehl"/>
      </w:rPr>
    </w:pPr>
    <w:r>
      <w:rPr>
        <w:rStyle w:val="PageNumber"/>
        <w:rFonts w:ascii="FrankRuehl" w:hAnsi="FrankRuehl" w:cs="FrankRuehl"/>
        <w:rtl/>
      </w:rPr>
      <w:fldChar w:fldCharType="begin"/>
    </w:r>
    <w:r>
      <w:rPr>
        <w:rStyle w:val="PageNumber"/>
        <w:rFonts w:ascii="FrankRuehl" w:hAnsi="FrankRuehl" w:cs="FrankRuehl"/>
        <w:rtl/>
      </w:rPr>
      <w:instrText xml:space="preserve"> </w:instrText>
    </w:r>
    <w:r>
      <w:rPr>
        <w:rStyle w:val="PageNumber"/>
        <w:rFonts w:ascii="FrankRuehl" w:hAnsi="FrankRuehl" w:cs="FrankRuehl"/>
      </w:rPr>
      <w:instrText>PAGE</w:instrText>
    </w:r>
    <w:r>
      <w:rPr>
        <w:rStyle w:val="PageNumber"/>
        <w:rFonts w:ascii="FrankRuehl" w:hAnsi="FrankRuehl" w:cs="FrankRuehl"/>
        <w:rtl/>
      </w:rPr>
      <w:instrText xml:space="preserve">  \* </w:instrText>
    </w:r>
    <w:r>
      <w:rPr>
        <w:rStyle w:val="PageNumber"/>
        <w:rFonts w:ascii="FrankRuehl" w:hAnsi="FrankRuehl" w:cs="FrankRuehl"/>
      </w:rPr>
      <w:instrText>MERGEFORMAT</w:instrText>
    </w:r>
    <w:r>
      <w:rPr>
        <w:rStyle w:val="PageNumber"/>
        <w:rFonts w:ascii="FrankRuehl" w:hAnsi="FrankRuehl" w:cs="FrankRuehl"/>
        <w:rtl/>
      </w:rPr>
      <w:instrText xml:space="preserve"> </w:instrText>
    </w:r>
    <w:r>
      <w:rPr>
        <w:rStyle w:val="PageNumber"/>
        <w:rFonts w:ascii="FrankRuehl" w:hAnsi="FrankRuehl" w:cs="FrankRuehl"/>
        <w:rtl/>
      </w:rPr>
      <w:fldChar w:fldCharType="separate"/>
    </w:r>
    <w:r w:rsidR="00E62286">
      <w:rPr>
        <w:rStyle w:val="PageNumber"/>
        <w:rFonts w:ascii="FrankRuehl" w:hAnsi="FrankRuehl" w:cs="FrankRuehl"/>
        <w:rtl/>
      </w:rPr>
      <w:t>1</w:t>
    </w:r>
    <w:r>
      <w:rPr>
        <w:rStyle w:val="PageNumber"/>
        <w:rFonts w:ascii="FrankRuehl" w:hAnsi="FrankRuehl" w:cs="FrankRuehl"/>
        <w:rtl/>
      </w:rPr>
      <w:fldChar w:fldCharType="end"/>
    </w:r>
  </w:p>
  <w:p w:rsidR="00393335" w:rsidRPr="00C10902" w:rsidRDefault="00E62286" w:rsidP="00C10902">
    <w:pPr>
      <w:pStyle w:val="Footer"/>
      <w:pBdr>
        <w:top w:val="single" w:sz="4" w:space="1" w:color="auto"/>
        <w:between w:val="single" w:sz="4" w:space="0" w:color="auto"/>
      </w:pBdr>
      <w:spacing w:after="60"/>
      <w:jc w:val="center"/>
      <w:rPr>
        <w:rStyle w:val="PageNumber"/>
        <w:rFonts w:ascii="FrankRuehl" w:hAnsi="FrankRuehl" w:cs="FrankRuehl"/>
        <w:color w:val="000000"/>
      </w:rPr>
    </w:pPr>
    <w:r>
      <w:rPr>
        <w:rFonts w:ascii="FrankRuehl" w:hAnsi="FrankRuehl" w:cs="FrankRuehl"/>
        <w:color w:val="000000"/>
        <w:lang w:bidi="ar-SA"/>
      </w:rPr>
      <w:drawing>
        <wp:inline distT="0" distB="0" distL="0" distR="0">
          <wp:extent cx="552450" cy="228600"/>
          <wp:effectExtent l="19050" t="0" r="0" b="0"/>
          <wp:docPr id="2" name="Picture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F0" w:rsidRPr="00E94A06" w:rsidRDefault="00684BF0">
      <w:pPr>
        <w:rPr>
          <w:rFonts w:cs="Arial"/>
          <w:szCs w:val="20"/>
        </w:rPr>
      </w:pPr>
      <w:r>
        <w:separator/>
      </w:r>
    </w:p>
  </w:footnote>
  <w:footnote w:type="continuationSeparator" w:id="0">
    <w:p w:rsidR="00684BF0" w:rsidRPr="00E94A06" w:rsidRDefault="00684BF0">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5" w:rsidRPr="00C10902" w:rsidRDefault="00C10902" w:rsidP="00C10902">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דמר (ת"א) 3418/09 </w:t>
    </w:r>
    <w:r>
      <w:rPr>
        <w:rFonts w:ascii="David" w:hAnsi="David"/>
        <w:color w:val="000000"/>
        <w:sz w:val="22"/>
        <w:szCs w:val="22"/>
        <w:rtl/>
      </w:rPr>
      <w:tab/>
      <w:t xml:space="preserve"> פוליבצב פאינה נ' אברהם יצחק יעקב שירותים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5" w:rsidRPr="00C10902" w:rsidRDefault="00C10902" w:rsidP="00C10902">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דמר (ת"א) 3418/09 </w:t>
    </w:r>
    <w:r>
      <w:rPr>
        <w:rFonts w:ascii="David" w:hAnsi="David"/>
        <w:color w:val="000000"/>
        <w:sz w:val="22"/>
        <w:szCs w:val="22"/>
        <w:rtl/>
      </w:rPr>
      <w:tab/>
      <w:t xml:space="preserve"> פוליבצב פאינה נ' אברהם יצחק יעקב שירותים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4BD"/>
    <w:multiLevelType w:val="hybridMultilevel"/>
    <w:tmpl w:val="8026D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807CA7"/>
    <w:multiLevelType w:val="hybridMultilevel"/>
    <w:tmpl w:val="8924B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B77C69"/>
    <w:multiLevelType w:val="hybridMultilevel"/>
    <w:tmpl w:val="719E4AE8"/>
    <w:lvl w:ilvl="0" w:tplc="F48C4376">
      <w:start w:val="1"/>
      <w:numFmt w:val="hebrew1"/>
      <w:lvlText w:val="(%1)"/>
      <w:lvlJc w:val="left"/>
      <w:pPr>
        <w:ind w:left="1830" w:hanging="360"/>
      </w:pPr>
      <w:rPr>
        <w:b/>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MyInfo" w:val="This document was extracted from Nevo's site"/>
  </w:docVars>
  <w:rsids>
    <w:rsidRoot w:val="00393335"/>
    <w:rsid w:val="000911EF"/>
    <w:rsid w:val="00392256"/>
    <w:rsid w:val="00393335"/>
    <w:rsid w:val="003E512F"/>
    <w:rsid w:val="00684BF0"/>
    <w:rsid w:val="00B06385"/>
    <w:rsid w:val="00C10902"/>
    <w:rsid w:val="00E622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335"/>
    <w:pPr>
      <w:bidi/>
    </w:pPr>
    <w:rPr>
      <w:rFonts w:cs="David"/>
      <w:noProof/>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3335"/>
    <w:pPr>
      <w:tabs>
        <w:tab w:val="center" w:pos="4153"/>
        <w:tab w:val="right" w:pos="8306"/>
      </w:tabs>
    </w:pPr>
  </w:style>
  <w:style w:type="paragraph" w:styleId="Footer">
    <w:name w:val="footer"/>
    <w:basedOn w:val="Normal"/>
    <w:rsid w:val="00393335"/>
    <w:pPr>
      <w:tabs>
        <w:tab w:val="center" w:pos="4153"/>
        <w:tab w:val="right" w:pos="8306"/>
      </w:tabs>
    </w:pPr>
  </w:style>
  <w:style w:type="character" w:styleId="PageNumber">
    <w:name w:val="page number"/>
    <w:basedOn w:val="DefaultParagraphFont"/>
    <w:rsid w:val="00393335"/>
  </w:style>
  <w:style w:type="character" w:styleId="Hyperlink">
    <w:name w:val="Hyperlink"/>
    <w:basedOn w:val="DefaultParagraphFont"/>
    <w:rsid w:val="00393335"/>
    <w:rPr>
      <w:color w:val="0000FF"/>
      <w:u w:val="single"/>
    </w:rPr>
  </w:style>
  <w:style w:type="paragraph" w:styleId="ListParagraph">
    <w:name w:val="List Paragraph"/>
    <w:basedOn w:val="Normal"/>
    <w:qFormat/>
    <w:rsid w:val="00393335"/>
    <w:pPr>
      <w:spacing w:after="200" w:line="276" w:lineRule="auto"/>
      <w:ind w:left="720"/>
      <w:contextualSpacing/>
    </w:pPr>
    <w:rPr>
      <w:rFonts w:ascii="Calibri" w:eastAsia="Calibri" w:hAnsi="Calibri" w:cs="Arial"/>
      <w:noProof w:val="0"/>
      <w:sz w:val="22"/>
      <w:szCs w:val="22"/>
    </w:rPr>
  </w:style>
  <w:style w:type="paragraph" w:customStyle="1" w:styleId="1">
    <w:name w:val="פיסקת רשימה1"/>
    <w:basedOn w:val="Normal"/>
    <w:rsid w:val="00393335"/>
    <w:pPr>
      <w:spacing w:after="200" w:line="276" w:lineRule="auto"/>
      <w:ind w:left="720"/>
      <w:contextualSpacing/>
    </w:pPr>
    <w:rPr>
      <w:rFonts w:ascii="Calibri" w:hAnsi="Calibri" w:cs="Arial"/>
      <w:noProof w:val="0"/>
      <w:sz w:val="22"/>
      <w:szCs w:val="22"/>
    </w:rPr>
  </w:style>
  <w:style w:type="paragraph" w:customStyle="1" w:styleId="P00">
    <w:name w:val="P00"/>
    <w:rsid w:val="0039333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szCs w:val="26"/>
      <w:lang w:eastAsia="he-IL" w:bidi="he-IL"/>
    </w:rPr>
  </w:style>
  <w:style w:type="character" w:customStyle="1" w:styleId="default">
    <w:name w:val="default"/>
    <w:basedOn w:val="DefaultParagraphFont"/>
    <w:rsid w:val="00393335"/>
    <w:rPr>
      <w:rFonts w:ascii="Times New Roman" w:hAnsi="Times New Roman" w:cs="Times New Roman" w:hint="default"/>
      <w:sz w:val="26"/>
      <w:szCs w:val="26"/>
    </w:rPr>
  </w:style>
  <w:style w:type="character" w:styleId="LineNumber">
    <w:name w:val="line number"/>
    <w:basedOn w:val="DefaultParagraphFont"/>
    <w:rsid w:val="00393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689/17a" TargetMode="External"/><Relationship Id="rId13" Type="http://schemas.openxmlformats.org/officeDocument/2006/relationships/hyperlink" Target="http://www.nevo.co.il/case/2091069" TargetMode="External"/><Relationship Id="rId18" Type="http://schemas.openxmlformats.org/officeDocument/2006/relationships/hyperlink" Target="http://www.nevo.co.il/law/7168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evo.co.il/law/71906" TargetMode="External"/><Relationship Id="rId7" Type="http://schemas.openxmlformats.org/officeDocument/2006/relationships/hyperlink" Target="http://www.nevo.co.il/law/71689" TargetMode="External"/><Relationship Id="rId12" Type="http://schemas.openxmlformats.org/officeDocument/2006/relationships/hyperlink" Target="http://www.nevo.co.il/links/psika/?link=&#1491;&#1489;&#1506;%20&#1504;&#1490;/125-3" TargetMode="External"/><Relationship Id="rId17" Type="http://schemas.openxmlformats.org/officeDocument/2006/relationships/hyperlink" Target="http://www.nevo.co.il/law/71689/17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vo.co.il/law/71689" TargetMode="External"/><Relationship Id="rId20" Type="http://schemas.openxmlformats.org/officeDocument/2006/relationships/hyperlink" Target="http://www.nevo.co.il/law/719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case/2088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evo.co.il/links/psika/?link=&#1491;&#1489;&#1506;%20&#1504;&#1493;/3-27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nevo.co.il/law/71906" TargetMode="External"/><Relationship Id="rId19" Type="http://schemas.openxmlformats.org/officeDocument/2006/relationships/hyperlink" Target="http://www.nevo.co.il/law/74611" TargetMode="External"/><Relationship Id="rId4" Type="http://schemas.openxmlformats.org/officeDocument/2006/relationships/webSettings" Target="webSettings.xml"/><Relationship Id="rId9" Type="http://schemas.openxmlformats.org/officeDocument/2006/relationships/hyperlink" Target="http://www.nevo.co.il/law/74611" TargetMode="External"/><Relationship Id="rId14" Type="http://schemas.openxmlformats.org/officeDocument/2006/relationships/hyperlink" Target="http://www.nevo.co.il/links/psika/?link=&#1491;&#1489;&#1506;%20&#1513;&#1503;/7-1" TargetMode="External"/><Relationship Id="rId22" Type="http://schemas.openxmlformats.org/officeDocument/2006/relationships/hyperlink" Target="http://www.nevo.co.il/advertisements/nevo-100.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nevo.co.il</vt:lpstr>
    </vt:vector>
  </TitlesOfParts>
  <Company>Grizli777</Company>
  <LinksUpToDate>false</LinksUpToDate>
  <CharactersWithSpaces>13574</CharactersWithSpaces>
  <SharedDoc>false</SharedDoc>
  <HLinks>
    <vt:vector size="96" baseType="variant">
      <vt:variant>
        <vt:i4>393283</vt:i4>
      </vt:variant>
      <vt:variant>
        <vt:i4>45</vt:i4>
      </vt:variant>
      <vt:variant>
        <vt:i4>0</vt:i4>
      </vt:variant>
      <vt:variant>
        <vt:i4>5</vt:i4>
      </vt:variant>
      <vt:variant>
        <vt:lpwstr>http://www.nevo.co.il/advertisements/nevo-100.doc</vt:lpwstr>
      </vt:variant>
      <vt:variant>
        <vt:lpwstr/>
      </vt:variant>
      <vt:variant>
        <vt:i4>8061038</vt:i4>
      </vt:variant>
      <vt:variant>
        <vt:i4>42</vt:i4>
      </vt:variant>
      <vt:variant>
        <vt:i4>0</vt:i4>
      </vt:variant>
      <vt:variant>
        <vt:i4>5</vt:i4>
      </vt:variant>
      <vt:variant>
        <vt:lpwstr>http://www.nevo.co.il/law/71906</vt:lpwstr>
      </vt:variant>
      <vt:variant>
        <vt:lpwstr/>
      </vt:variant>
      <vt:variant>
        <vt:i4>8061038</vt:i4>
      </vt:variant>
      <vt:variant>
        <vt:i4>39</vt:i4>
      </vt:variant>
      <vt:variant>
        <vt:i4>0</vt:i4>
      </vt:variant>
      <vt:variant>
        <vt:i4>5</vt:i4>
      </vt:variant>
      <vt:variant>
        <vt:lpwstr>http://www.nevo.co.il/law/71906</vt:lpwstr>
      </vt:variant>
      <vt:variant>
        <vt:lpwstr/>
      </vt:variant>
      <vt:variant>
        <vt:i4>8323169</vt:i4>
      </vt:variant>
      <vt:variant>
        <vt:i4>36</vt:i4>
      </vt:variant>
      <vt:variant>
        <vt:i4>0</vt:i4>
      </vt:variant>
      <vt:variant>
        <vt:i4>5</vt:i4>
      </vt:variant>
      <vt:variant>
        <vt:lpwstr>http://www.nevo.co.il/law/74611</vt:lpwstr>
      </vt:variant>
      <vt:variant>
        <vt:lpwstr/>
      </vt:variant>
      <vt:variant>
        <vt:i4>7536737</vt:i4>
      </vt:variant>
      <vt:variant>
        <vt:i4>33</vt:i4>
      </vt:variant>
      <vt:variant>
        <vt:i4>0</vt:i4>
      </vt:variant>
      <vt:variant>
        <vt:i4>5</vt:i4>
      </vt:variant>
      <vt:variant>
        <vt:lpwstr>http://www.nevo.co.il/law/71689</vt:lpwstr>
      </vt:variant>
      <vt:variant>
        <vt:lpwstr/>
      </vt:variant>
      <vt:variant>
        <vt:i4>7012457</vt:i4>
      </vt:variant>
      <vt:variant>
        <vt:i4>30</vt:i4>
      </vt:variant>
      <vt:variant>
        <vt:i4>0</vt:i4>
      </vt:variant>
      <vt:variant>
        <vt:i4>5</vt:i4>
      </vt:variant>
      <vt:variant>
        <vt:lpwstr>http://www.nevo.co.il/law/71689/17a</vt:lpwstr>
      </vt:variant>
      <vt:variant>
        <vt:lpwstr/>
      </vt:variant>
      <vt:variant>
        <vt:i4>7536737</vt:i4>
      </vt:variant>
      <vt:variant>
        <vt:i4>27</vt:i4>
      </vt:variant>
      <vt:variant>
        <vt:i4>0</vt:i4>
      </vt:variant>
      <vt:variant>
        <vt:i4>5</vt:i4>
      </vt:variant>
      <vt:variant>
        <vt:lpwstr>http://www.nevo.co.il/law/71689</vt:lpwstr>
      </vt:variant>
      <vt:variant>
        <vt:lpwstr/>
      </vt:variant>
      <vt:variant>
        <vt:i4>394667</vt:i4>
      </vt:variant>
      <vt:variant>
        <vt:i4>24</vt:i4>
      </vt:variant>
      <vt:variant>
        <vt:i4>0</vt:i4>
      </vt:variant>
      <vt:variant>
        <vt:i4>5</vt:i4>
      </vt:variant>
      <vt:variant>
        <vt:lpwstr>http://www.nevo.co.il/links/psika/?link=דבע נו/3-272</vt:lpwstr>
      </vt:variant>
      <vt:variant>
        <vt:lpwstr/>
      </vt:variant>
      <vt:variant>
        <vt:i4>3736981</vt:i4>
      </vt:variant>
      <vt:variant>
        <vt:i4>21</vt:i4>
      </vt:variant>
      <vt:variant>
        <vt:i4>0</vt:i4>
      </vt:variant>
      <vt:variant>
        <vt:i4>5</vt:i4>
      </vt:variant>
      <vt:variant>
        <vt:lpwstr>http://www.nevo.co.il/links/psika/?link=דבע שן/7-1</vt:lpwstr>
      </vt:variant>
      <vt:variant>
        <vt:lpwstr/>
      </vt:variant>
      <vt:variant>
        <vt:i4>3276915</vt:i4>
      </vt:variant>
      <vt:variant>
        <vt:i4>18</vt:i4>
      </vt:variant>
      <vt:variant>
        <vt:i4>0</vt:i4>
      </vt:variant>
      <vt:variant>
        <vt:i4>5</vt:i4>
      </vt:variant>
      <vt:variant>
        <vt:lpwstr>http://www.nevo.co.il/case/2091069</vt:lpwstr>
      </vt:variant>
      <vt:variant>
        <vt:lpwstr/>
      </vt:variant>
      <vt:variant>
        <vt:i4>329134</vt:i4>
      </vt:variant>
      <vt:variant>
        <vt:i4>15</vt:i4>
      </vt:variant>
      <vt:variant>
        <vt:i4>0</vt:i4>
      </vt:variant>
      <vt:variant>
        <vt:i4>5</vt:i4>
      </vt:variant>
      <vt:variant>
        <vt:lpwstr>http://www.nevo.co.il/links/psika/?link=דבע נג/125-3</vt:lpwstr>
      </vt:variant>
      <vt:variant>
        <vt:lpwstr/>
      </vt:variant>
      <vt:variant>
        <vt:i4>524364</vt:i4>
      </vt:variant>
      <vt:variant>
        <vt:i4>12</vt:i4>
      </vt:variant>
      <vt:variant>
        <vt:i4>0</vt:i4>
      </vt:variant>
      <vt:variant>
        <vt:i4>5</vt:i4>
      </vt:variant>
      <vt:variant>
        <vt:lpwstr>http://www.nevo.co.il/case/20882</vt:lpwstr>
      </vt:variant>
      <vt:variant>
        <vt:lpwstr/>
      </vt:variant>
      <vt:variant>
        <vt:i4>8061038</vt:i4>
      </vt:variant>
      <vt:variant>
        <vt:i4>9</vt:i4>
      </vt:variant>
      <vt:variant>
        <vt:i4>0</vt:i4>
      </vt:variant>
      <vt:variant>
        <vt:i4>5</vt:i4>
      </vt:variant>
      <vt:variant>
        <vt:lpwstr>http://www.nevo.co.il/law/71906</vt:lpwstr>
      </vt:variant>
      <vt:variant>
        <vt:lpwstr/>
      </vt:variant>
      <vt:variant>
        <vt:i4>8323169</vt:i4>
      </vt:variant>
      <vt:variant>
        <vt:i4>6</vt:i4>
      </vt:variant>
      <vt:variant>
        <vt:i4>0</vt:i4>
      </vt:variant>
      <vt:variant>
        <vt:i4>5</vt:i4>
      </vt:variant>
      <vt:variant>
        <vt:lpwstr>http://www.nevo.co.il/law/74611</vt:lpwstr>
      </vt:variant>
      <vt:variant>
        <vt:lpwstr/>
      </vt:variant>
      <vt:variant>
        <vt:i4>7012457</vt:i4>
      </vt:variant>
      <vt:variant>
        <vt:i4>3</vt:i4>
      </vt:variant>
      <vt:variant>
        <vt:i4>0</vt:i4>
      </vt:variant>
      <vt:variant>
        <vt:i4>5</vt:i4>
      </vt:variant>
      <vt:variant>
        <vt:lpwstr>http://www.nevo.co.il/law/71689/17a</vt:lpwstr>
      </vt:variant>
      <vt:variant>
        <vt:lpwstr/>
      </vt:variant>
      <vt:variant>
        <vt:i4>7536737</vt:i4>
      </vt:variant>
      <vt:variant>
        <vt:i4>0</vt:i4>
      </vt:variant>
      <vt:variant>
        <vt:i4>0</vt:i4>
      </vt:variant>
      <vt:variant>
        <vt:i4>5</vt:i4>
      </vt:variant>
      <vt:variant>
        <vt:lpwstr>http://www.nevo.co.il/law/71689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creator>Yuval</dc:creator>
  <cp:lastModifiedBy>Yuval</cp:lastModifiedBy>
  <cp:revision>2</cp:revision>
  <dcterms:created xsi:type="dcterms:W3CDTF">2014-07-09T06:54:00Z</dcterms:created>
  <dcterms:modified xsi:type="dcterms:W3CDTF">2014-07-09T06:54:00Z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5</vt:lpwstr>
  </property>
  <property fmtid="{D5CDD505-2E9C-101B-9397-08002B2CF9AE}" pid="3" name="PSAKDIN">
    <vt:lpwstr>פסק-דין</vt:lpwstr>
  </property>
  <property fmtid="{D5CDD505-2E9C-101B-9397-08002B2CF9AE}" pid="4" name="PROCESS">
    <vt:lpwstr>דמר;תעא</vt:lpwstr>
  </property>
  <property fmtid="{D5CDD505-2E9C-101B-9397-08002B2CF9AE}" pid="5" name="PROCNUM">
    <vt:lpwstr>3418;4651</vt:lpwstr>
  </property>
  <property fmtid="{D5CDD505-2E9C-101B-9397-08002B2CF9AE}" pid="6" name="PROCYEAR">
    <vt:lpwstr>09;09</vt:lpwstr>
  </property>
  <property fmtid="{D5CDD505-2E9C-101B-9397-08002B2CF9AE}" pid="7" name="APPELLANT">
    <vt:lpwstr>פוליבצב פאינה</vt:lpwstr>
  </property>
  <property fmtid="{D5CDD505-2E9C-101B-9397-08002B2CF9AE}" pid="8" name="APPELLEE">
    <vt:lpwstr>אברהם יצחק יעקב שירותים בע#מ;סימון שמש</vt:lpwstr>
  </property>
  <property fmtid="{D5CDD505-2E9C-101B-9397-08002B2CF9AE}" pid="9" name="LAWYER">
    <vt:lpwstr>אלכסנדר ספינרד;הדס שגיא ויינבאום;</vt:lpwstr>
  </property>
  <property fmtid="{D5CDD505-2E9C-101B-9397-08002B2CF9AE}" pid="10" name="JUDGE">
    <vt:lpwstr>ד#ר יצחק לובוצקי;</vt:lpwstr>
  </property>
  <property fmtid="{D5CDD505-2E9C-101B-9397-08002B2CF9AE}" pid="11" name="CITY">
    <vt:lpwstr>ת"א</vt:lpwstr>
  </property>
  <property fmtid="{D5CDD505-2E9C-101B-9397-08002B2CF9AE}" pid="12" name="DATE">
    <vt:lpwstr>20140703</vt:lpwstr>
  </property>
  <property fmtid="{D5CDD505-2E9C-101B-9397-08002B2CF9AE}" pid="13" name="TYPE_N_DATE">
    <vt:lpwstr>35020140703</vt:lpwstr>
  </property>
  <property fmtid="{D5CDD505-2E9C-101B-9397-08002B2CF9AE}" pid="14" name="CASESLISTTMP1">
    <vt:lpwstr>20882;2091069</vt:lpwstr>
  </property>
  <property fmtid="{D5CDD505-2E9C-101B-9397-08002B2CF9AE}" pid="15" name="CASENOTES1">
    <vt:lpwstr>ProcID=33&amp;PartA=נג&amp;PartC=125-3</vt:lpwstr>
  </property>
  <property fmtid="{D5CDD505-2E9C-101B-9397-08002B2CF9AE}" pid="16" name="CASENOTES2">
    <vt:lpwstr>ProcID=33&amp;PartA=שן&amp;PartC=7-1</vt:lpwstr>
  </property>
  <property fmtid="{D5CDD505-2E9C-101B-9397-08002B2CF9AE}" pid="17" name="CASENOTES3">
    <vt:lpwstr>ProcID=33&amp;PartA=נו&amp;PartC=3-272</vt:lpwstr>
  </property>
  <property fmtid="{D5CDD505-2E9C-101B-9397-08002B2CF9AE}" pid="18" name="CASENOTES4">
    <vt:lpwstr>ProcID=179&amp;PartA=1&amp;PartC=08</vt:lpwstr>
  </property>
  <property fmtid="{D5CDD505-2E9C-101B-9397-08002B2CF9AE}" pid="19" name="CASENOTES5">
    <vt:lpwstr>ProcID=179&amp;PartA=9&amp;PartC=06</vt:lpwstr>
  </property>
  <property fmtid="{D5CDD505-2E9C-101B-9397-08002B2CF9AE}" pid="20" name="CASENOTES6">
    <vt:lpwstr>ProcID=179&amp;PartA=6&amp;PartC=08</vt:lpwstr>
  </property>
  <property fmtid="{D5CDD505-2E9C-101B-9397-08002B2CF9AE}" pid="21" name="CASENOTES7">
    <vt:lpwstr>ProcID=179&amp;PartA=5&amp;PartC=07</vt:lpwstr>
  </property>
  <property fmtid="{D5CDD505-2E9C-101B-9397-08002B2CF9AE}" pid="22" name="WORDNUMPAGES">
    <vt:lpwstr>10</vt:lpwstr>
  </property>
  <property fmtid="{D5CDD505-2E9C-101B-9397-08002B2CF9AE}" pid="23" name="TYPE_ABS_DATE">
    <vt:lpwstr>350020140703</vt:lpwstr>
  </property>
  <property fmtid="{D5CDD505-2E9C-101B-9397-08002B2CF9AE}" pid="24" name="ISABSTRACT">
    <vt:lpwstr>Y</vt:lpwstr>
  </property>
  <property fmtid="{D5CDD505-2E9C-101B-9397-08002B2CF9AE}" pid="25" name="APPELLANT1">
    <vt:lpwstr/>
  </property>
  <property fmtid="{D5CDD505-2E9C-101B-9397-08002B2CF9AE}" pid="26" name="APPELLANT2">
    <vt:lpwstr/>
  </property>
  <property fmtid="{D5CDD505-2E9C-101B-9397-08002B2CF9AE}" pid="27" name="APPELLEE1">
    <vt:lpwstr/>
  </property>
  <property fmtid="{D5CDD505-2E9C-101B-9397-08002B2CF9AE}" pid="28" name="APPELLEE2">
    <vt:lpwstr/>
  </property>
  <property fmtid="{D5CDD505-2E9C-101B-9397-08002B2CF9AE}" pid="29" name="VOLUME">
    <vt:lpwstr/>
  </property>
  <property fmtid="{D5CDD505-2E9C-101B-9397-08002B2CF9AE}" pid="30" name="PART">
    <vt:lpwstr/>
  </property>
  <property fmtid="{D5CDD505-2E9C-101B-9397-08002B2CF9AE}" pid="31" name="PAGE">
    <vt:lpwstr/>
  </property>
  <property fmtid="{D5CDD505-2E9C-101B-9397-08002B2CF9AE}" pid="32" name="PADIMAIL">
    <vt:lpwstr/>
  </property>
  <property fmtid="{D5CDD505-2E9C-101B-9397-08002B2CF9AE}" pid="33" name="DELEMATA">
    <vt:lpwstr/>
  </property>
  <property fmtid="{D5CDD505-2E9C-101B-9397-08002B2CF9AE}" pid="34" name="LINKK1">
    <vt:lpwstr/>
  </property>
  <property fmtid="{D5CDD505-2E9C-101B-9397-08002B2CF9AE}" pid="35" name="LINKK2">
    <vt:lpwstr/>
  </property>
  <property fmtid="{D5CDD505-2E9C-101B-9397-08002B2CF9AE}" pid="36" name="LINKK3">
    <vt:lpwstr/>
  </property>
  <property fmtid="{D5CDD505-2E9C-101B-9397-08002B2CF9AE}" pid="37" name="LINKK4">
    <vt:lpwstr/>
  </property>
  <property fmtid="{D5CDD505-2E9C-101B-9397-08002B2CF9AE}" pid="38" name="LINKK5">
    <vt:lpwstr/>
  </property>
  <property fmtid="{D5CDD505-2E9C-101B-9397-08002B2CF9AE}" pid="39" name="NEWPROC">
    <vt:lpwstr/>
  </property>
  <property fmtid="{D5CDD505-2E9C-101B-9397-08002B2CF9AE}" pid="40" name="NEWPARTA">
    <vt:lpwstr/>
  </property>
  <property fmtid="{D5CDD505-2E9C-101B-9397-08002B2CF9AE}" pid="41" name="NEWPARTB">
    <vt:lpwstr/>
  </property>
  <property fmtid="{D5CDD505-2E9C-101B-9397-08002B2CF9AE}" pid="42" name="NEWPARTC">
    <vt:lpwstr/>
  </property>
  <property fmtid="{D5CDD505-2E9C-101B-9397-08002B2CF9AE}" pid="43" name="LAWLISTTMP1">
    <vt:lpwstr>71689/017a</vt:lpwstr>
  </property>
  <property fmtid="{D5CDD505-2E9C-101B-9397-08002B2CF9AE}" pid="44" name="LAWLISTTMP2">
    <vt:lpwstr>74611</vt:lpwstr>
  </property>
  <property fmtid="{D5CDD505-2E9C-101B-9397-08002B2CF9AE}" pid="45" name="LAWLISTTMP3">
    <vt:lpwstr>71906:2</vt:lpwstr>
  </property>
</Properties>
</file>